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8DDCCA">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w:t>
      </w:r>
      <w:r>
        <w:rPr>
          <w:rFonts w:hint="default" w:ascii="Arial" w:hAnsi="Arial" w:cs="Arial"/>
          <w:b/>
          <w:sz w:val="22"/>
          <w:szCs w:val="22"/>
          <w:lang w:val="en-US" w:eastAsia="zh-CN"/>
        </w:rPr>
        <w:t>2</w:t>
      </w:r>
      <w:r>
        <w:rPr>
          <w:rFonts w:ascii="Arial" w:hAnsi="Arial" w:cs="Arial"/>
          <w:b/>
          <w:sz w:val="22"/>
          <w:szCs w:val="22"/>
        </w:rPr>
        <w:tab/>
      </w:r>
      <w:r>
        <w:rPr>
          <w:rFonts w:ascii="Arial" w:hAnsi="Arial" w:cs="Arial"/>
          <w:b/>
          <w:sz w:val="22"/>
          <w:szCs w:val="22"/>
        </w:rPr>
        <w:t>S3-2</w:t>
      </w:r>
      <w:r>
        <w:rPr>
          <w:rFonts w:ascii="Arial" w:hAnsi="Arial" w:cs="Arial"/>
          <w:b/>
          <w:sz w:val="22"/>
          <w:szCs w:val="22"/>
          <w:lang w:val="en-US"/>
        </w:rPr>
        <w:t>5</w:t>
      </w:r>
      <w:r>
        <w:rPr>
          <w:rFonts w:hint="default" w:ascii="Arial" w:hAnsi="Arial" w:cs="Arial"/>
          <w:b/>
          <w:sz w:val="22"/>
          <w:szCs w:val="22"/>
          <w:lang w:val="en-US"/>
        </w:rPr>
        <w:t>2102</w:t>
      </w:r>
    </w:p>
    <w:p w14:paraId="57BCD62C">
      <w:pPr>
        <w:pStyle w:val="38"/>
        <w:rPr>
          <w:b w:val="0"/>
          <w:bCs/>
          <w:sz w:val="24"/>
          <w:lang w:val="en-US"/>
        </w:rPr>
      </w:pPr>
      <w:r>
        <w:rPr>
          <w:rFonts w:hint="default" w:cs="Arial"/>
          <w:sz w:val="22"/>
          <w:szCs w:val="22"/>
          <w:lang w:val="en-US" w:eastAsia="zh-CN"/>
        </w:rPr>
        <w:t>Fukuoka</w:t>
      </w:r>
      <w:r>
        <w:rPr>
          <w:rFonts w:cs="Arial"/>
          <w:sz w:val="22"/>
          <w:szCs w:val="22"/>
        </w:rPr>
        <w:t>,</w:t>
      </w:r>
      <w:r>
        <w:rPr>
          <w:rFonts w:hint="eastAsia" w:cs="Arial"/>
          <w:sz w:val="22"/>
          <w:szCs w:val="22"/>
          <w:lang w:val="en-US" w:eastAsia="zh-CN"/>
        </w:rPr>
        <w:t xml:space="preserve"> </w:t>
      </w:r>
      <w:r>
        <w:rPr>
          <w:rFonts w:hint="default" w:cs="Arial"/>
          <w:sz w:val="22"/>
          <w:szCs w:val="22"/>
          <w:lang w:val="en-US" w:eastAsia="zh-CN"/>
        </w:rPr>
        <w:t>Japan</w:t>
      </w:r>
      <w:r>
        <w:rPr>
          <w:rFonts w:cs="Arial"/>
          <w:sz w:val="22"/>
          <w:szCs w:val="22"/>
          <w:lang w:val="en-US"/>
        </w:rPr>
        <w:t>,</w:t>
      </w:r>
      <w:r>
        <w:rPr>
          <w:rFonts w:cs="Arial"/>
          <w:sz w:val="22"/>
          <w:szCs w:val="22"/>
        </w:rPr>
        <w:t xml:space="preserve"> </w:t>
      </w:r>
      <w:r>
        <w:rPr>
          <w:rFonts w:hint="default" w:cs="Arial"/>
          <w:sz w:val="22"/>
          <w:szCs w:val="22"/>
          <w:lang w:val="en-US"/>
        </w:rPr>
        <w:t>19</w:t>
      </w:r>
      <w:r>
        <w:rPr>
          <w:rFonts w:cs="Arial"/>
          <w:sz w:val="22"/>
          <w:szCs w:val="22"/>
        </w:rPr>
        <w:t xml:space="preserve"> - </w:t>
      </w:r>
      <w:r>
        <w:rPr>
          <w:rFonts w:hint="default" w:cs="Arial"/>
          <w:sz w:val="22"/>
          <w:szCs w:val="22"/>
          <w:lang w:val="en-US"/>
        </w:rPr>
        <w:t>23</w:t>
      </w:r>
      <w:r>
        <w:rPr>
          <w:rFonts w:cs="Arial"/>
          <w:sz w:val="22"/>
          <w:szCs w:val="22"/>
        </w:rPr>
        <w:t xml:space="preserve"> </w:t>
      </w:r>
      <w:r>
        <w:rPr>
          <w:rFonts w:hint="default" w:cs="Arial"/>
          <w:sz w:val="22"/>
          <w:szCs w:val="22"/>
          <w:lang w:val="en-US"/>
        </w:rPr>
        <w:t>May</w:t>
      </w:r>
      <w:r>
        <w:rPr>
          <w:rFonts w:cs="Arial"/>
          <w:sz w:val="22"/>
          <w:szCs w:val="22"/>
        </w:rPr>
        <w:t xml:space="preserve"> 202</w:t>
      </w:r>
      <w:r>
        <w:rPr>
          <w:rFonts w:cs="Arial"/>
          <w:sz w:val="22"/>
          <w:szCs w:val="22"/>
          <w:lang w:val="en-US"/>
        </w:rPr>
        <w:t>5</w:t>
      </w:r>
    </w:p>
    <w:p w14:paraId="02714ACD">
      <w:pPr>
        <w:keepNext/>
        <w:pBdr>
          <w:bottom w:val="single" w:color="auto" w:sz="4" w:space="1"/>
        </w:pBdr>
        <w:tabs>
          <w:tab w:val="right" w:pos="9639"/>
        </w:tabs>
        <w:outlineLvl w:val="0"/>
        <w:rPr>
          <w:rFonts w:ascii="Arial" w:hAnsi="Arial" w:cs="Arial"/>
          <w:b/>
          <w:sz w:val="24"/>
        </w:rPr>
      </w:pPr>
    </w:p>
    <w:p w14:paraId="4F4F54C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134020779"/>
      <w:r>
        <w:rPr>
          <w:rFonts w:ascii="Arial" w:hAnsi="Arial"/>
          <w:b/>
          <w:lang w:val="en-US"/>
        </w:rPr>
        <w:t>Apple</w:t>
      </w:r>
    </w:p>
    <w:bookmarkEnd w:id="0"/>
    <w:p w14:paraId="3173C92F">
      <w:pPr>
        <w:keepNext/>
        <w:tabs>
          <w:tab w:val="left" w:pos="2127"/>
        </w:tabs>
        <w:spacing w:after="0"/>
        <w:ind w:left="2126" w:hanging="2126"/>
        <w:outlineLvl w:val="0"/>
        <w:rPr>
          <w:rFonts w:hint="default" w:ascii="Arial" w:hAnsi="Arial"/>
          <w:b/>
          <w:lang w:val="en-US"/>
        </w:rPr>
      </w:pPr>
      <w:r>
        <w:rPr>
          <w:rFonts w:ascii="Arial" w:hAnsi="Arial" w:cs="Arial"/>
          <w:b/>
        </w:rPr>
        <w:t>Title:</w:t>
      </w:r>
      <w:r>
        <w:rPr>
          <w:rFonts w:ascii="Arial" w:hAnsi="Arial" w:cs="Arial"/>
          <w:b/>
        </w:rPr>
        <w:tab/>
      </w:r>
      <w:r>
        <w:rPr>
          <w:rFonts w:ascii="Arial" w:hAnsi="Arial" w:cs="Arial"/>
          <w:b/>
        </w:rPr>
        <w:t xml:space="preserve">Discussion paper </w:t>
      </w:r>
      <w:r>
        <w:rPr>
          <w:rFonts w:ascii="Arial" w:hAnsi="Arial" w:cs="Arial"/>
          <w:b/>
          <w:lang w:val="en-US"/>
        </w:rPr>
        <w:t xml:space="preserve">on </w:t>
      </w:r>
      <w:r>
        <w:rPr>
          <w:rFonts w:hint="default" w:ascii="Arial" w:hAnsi="Arial" w:cs="Arial"/>
          <w:b/>
          <w:lang w:val="en-US"/>
        </w:rPr>
        <w:t>SA3 R20 planning on 6G security topics</w:t>
      </w:r>
    </w:p>
    <w:p w14:paraId="41F9E2B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hint="default" w:ascii="Arial" w:hAnsi="Arial"/>
          <w:b/>
          <w:lang w:val="en-US"/>
        </w:rPr>
        <w:t>D</w:t>
      </w:r>
      <w:r>
        <w:rPr>
          <w:rFonts w:ascii="Arial" w:hAnsi="Arial"/>
          <w:b/>
          <w:lang w:eastAsia="zh-CN"/>
        </w:rPr>
        <w:t>iscussion</w:t>
      </w:r>
    </w:p>
    <w:p w14:paraId="2A7B9419">
      <w:pPr>
        <w:keepNext/>
        <w:pBdr>
          <w:bottom w:val="single" w:color="auto" w:sz="4" w:space="1"/>
        </w:pBdr>
        <w:tabs>
          <w:tab w:val="left" w:pos="2127"/>
        </w:tabs>
        <w:spacing w:after="0"/>
        <w:ind w:left="2126" w:hanging="2126"/>
        <w:rPr>
          <w:rFonts w:hint="default" w:ascii="Arial" w:hAnsi="Arial"/>
          <w:b/>
          <w:bCs/>
          <w:lang w:val="en-US" w:eastAsia="zh-CN"/>
        </w:rPr>
      </w:pPr>
      <w:r>
        <w:rPr>
          <w:rFonts w:ascii="Arial" w:hAnsi="Arial"/>
          <w:b/>
          <w:bCs/>
        </w:rPr>
        <w:t>Agenda Item:</w:t>
      </w:r>
      <w:r>
        <w:tab/>
      </w:r>
      <w:r>
        <w:rPr>
          <w:rFonts w:hint="default" w:ascii="Arial" w:hAnsi="Arial"/>
          <w:b/>
          <w:bCs/>
          <w:lang w:val="en-US"/>
        </w:rPr>
        <w:t>6.1</w:t>
      </w:r>
    </w:p>
    <w:p w14:paraId="61ED4218">
      <w:pPr>
        <w:pStyle w:val="2"/>
      </w:pPr>
      <w:r>
        <w:t>1</w:t>
      </w:r>
      <w:r>
        <w:tab/>
      </w:r>
      <w:r>
        <w:t>Decision/action requested</w:t>
      </w:r>
    </w:p>
    <w:p w14:paraId="660D89B4">
      <w:pPr>
        <w:pBdr>
          <w:top w:val="single" w:color="auto" w:sz="4" w:space="1"/>
          <w:left w:val="single" w:color="auto" w:sz="4" w:space="4"/>
          <w:bottom w:val="single" w:color="auto" w:sz="4" w:space="1"/>
          <w:right w:val="single" w:color="auto" w:sz="4" w:space="4"/>
        </w:pBdr>
        <w:shd w:val="clear" w:color="auto" w:fill="FFFF99"/>
        <w:jc w:val="center"/>
        <w:rPr>
          <w:rFonts w:hint="default"/>
          <w:lang w:val="en-US" w:eastAsia="zh-CN"/>
        </w:rPr>
      </w:pPr>
      <w:r>
        <w:rPr>
          <w:b/>
          <w:i/>
        </w:rPr>
        <w:t xml:space="preserve">It is requested to discuss the </w:t>
      </w:r>
      <w:r>
        <w:rPr>
          <w:rFonts w:hint="default"/>
          <w:b/>
          <w:i/>
          <w:lang w:val="en-US"/>
        </w:rPr>
        <w:t>SA3 R20 planning</w:t>
      </w:r>
    </w:p>
    <w:p w14:paraId="3068A951">
      <w:pPr>
        <w:pStyle w:val="2"/>
      </w:pPr>
      <w:r>
        <w:t>2</w:t>
      </w:r>
      <w:r>
        <w:tab/>
      </w:r>
      <w:r>
        <w:t>References</w:t>
      </w:r>
    </w:p>
    <w:p w14:paraId="7564DC3F">
      <w:pPr>
        <w:pStyle w:val="135"/>
        <w:rPr>
          <w:rFonts w:hint="default" w:eastAsia="微软雅黑"/>
          <w:lang w:val="en-US"/>
        </w:rPr>
      </w:pPr>
      <w:r>
        <w:rPr>
          <w:rFonts w:eastAsia="微软雅黑"/>
        </w:rPr>
        <w:t>[</w:t>
      </w:r>
      <w:r>
        <w:rPr>
          <w:rFonts w:eastAsia="微软雅黑"/>
          <w:lang w:val="en-US"/>
        </w:rPr>
        <w:t>1</w:t>
      </w:r>
      <w:r>
        <w:rPr>
          <w:rFonts w:eastAsia="微软雅黑"/>
        </w:rPr>
        <w:t xml:space="preserve">] </w:t>
      </w:r>
      <w:r>
        <w:rPr>
          <w:rFonts w:hint="default" w:eastAsia="微软雅黑"/>
          <w:lang w:val="en-US"/>
        </w:rPr>
        <w:t>TS 33.501</w:t>
      </w:r>
    </w:p>
    <w:p w14:paraId="04773CB8">
      <w:pPr>
        <w:pStyle w:val="135"/>
        <w:rPr>
          <w:rFonts w:hint="default" w:eastAsia="微软雅黑"/>
          <w:lang w:val="en-US" w:eastAsia="zh-CN"/>
        </w:rPr>
      </w:pPr>
      <w:r>
        <w:rPr>
          <w:rFonts w:hint="default" w:eastAsia="微软雅黑"/>
          <w:lang w:val="en-US"/>
        </w:rPr>
        <w:t>[2] TR 33.899</w:t>
      </w:r>
    </w:p>
    <w:p w14:paraId="7ED61096">
      <w:pPr>
        <w:pStyle w:val="135"/>
        <w:rPr>
          <w:rFonts w:hint="default" w:eastAsia="微软雅黑"/>
          <w:lang w:val="en-US" w:eastAsia="zh-CN"/>
        </w:rPr>
      </w:pPr>
    </w:p>
    <w:p w14:paraId="6C29E54B">
      <w:pPr>
        <w:keepNext/>
        <w:keepLines/>
        <w:pBdr>
          <w:top w:val="single" w:color="auto" w:sz="12" w:space="3"/>
        </w:pBdr>
        <w:spacing w:before="240"/>
        <w:ind w:left="1134" w:hanging="1134"/>
        <w:outlineLvl w:val="0"/>
        <w:rPr>
          <w:rFonts w:ascii="Arial" w:hAnsi="Arial"/>
          <w:sz w:val="36"/>
          <w:lang w:val="en-US" w:eastAsia="zh-CN"/>
        </w:rPr>
      </w:pPr>
      <w:r>
        <w:rPr>
          <w:rFonts w:ascii="Arial" w:hAnsi="Arial"/>
          <w:sz w:val="36"/>
        </w:rPr>
        <w:t>3</w:t>
      </w:r>
      <w:r>
        <w:rPr>
          <w:rFonts w:ascii="Arial" w:hAnsi="Arial"/>
          <w:sz w:val="36"/>
        </w:rPr>
        <w:tab/>
      </w:r>
      <w:r>
        <w:rPr>
          <w:rFonts w:ascii="Arial" w:hAnsi="Arial"/>
          <w:sz w:val="36"/>
        </w:rPr>
        <w:t>Rationale</w:t>
      </w:r>
    </w:p>
    <w:p w14:paraId="1E4E7186">
      <w:pPr>
        <w:spacing w:before="100" w:beforeAutospacing="1" w:after="100" w:afterAutospacing="1"/>
        <w:rPr>
          <w:rFonts w:hint="default" w:eastAsia="宋体"/>
          <w:sz w:val="24"/>
          <w:szCs w:val="24"/>
          <w:lang w:val="en-US" w:eastAsia="zh-CN"/>
        </w:rPr>
      </w:pPr>
      <w:r>
        <w:rPr>
          <w:rFonts w:eastAsia="Times New Roman"/>
          <w:lang w:val="en-US"/>
        </w:rPr>
        <w:t>SA</w:t>
      </w:r>
      <w:r>
        <w:rPr>
          <w:rFonts w:hint="default" w:eastAsia="Times New Roman"/>
          <w:lang w:val="en-US"/>
        </w:rPr>
        <w:t xml:space="preserve">3 has kicked off the discussion on R20 planning and collected feedbacks through NWM discussion. This discussion paper provides more detailed information on the timeline planning, most importantly provides suggestions on the </w:t>
      </w:r>
      <w:r>
        <w:rPr>
          <w:rFonts w:hint="eastAsia" w:eastAsia="宋体"/>
          <w:lang w:val="en-US" w:eastAsia="zh-CN"/>
        </w:rPr>
        <w:t>6G security areas seperation</w:t>
      </w:r>
      <w:r>
        <w:rPr>
          <w:rFonts w:hint="default" w:eastAsia="宋体"/>
          <w:lang w:val="en-US" w:eastAsia="zh-CN"/>
        </w:rPr>
        <w:t xml:space="preserve">. </w:t>
      </w:r>
    </w:p>
    <w:p w14:paraId="4265DE26">
      <w:pPr>
        <w:pStyle w:val="2"/>
      </w:pPr>
      <w:r>
        <w:t>4</w:t>
      </w:r>
      <w:r>
        <w:tab/>
      </w:r>
      <w:r>
        <w:t>Detailed proposal</w:t>
      </w:r>
    </w:p>
    <w:p w14:paraId="590821AF">
      <w:pPr>
        <w:pStyle w:val="3"/>
        <w:rPr>
          <w:lang w:eastAsia="en-IN"/>
        </w:rPr>
      </w:pPr>
      <w:bookmarkStart w:id="1" w:name="_Toc107949223"/>
      <w:r>
        <w:rPr>
          <w:lang w:eastAsia="en-IN"/>
        </w:rPr>
        <w:t xml:space="preserve">4.1 </w:t>
      </w:r>
      <w:r>
        <w:rPr>
          <w:rFonts w:hint="default"/>
          <w:lang w:val="en-US" w:eastAsia="en-IN"/>
        </w:rPr>
        <w:tab/>
      </w:r>
      <w:r>
        <w:rPr>
          <w:rFonts w:hint="eastAsia"/>
          <w:lang w:val="en-US" w:eastAsia="zh-CN"/>
        </w:rPr>
        <w:t>SA3 R20 timeline</w:t>
      </w:r>
      <w:r>
        <w:rPr>
          <w:rFonts w:hint="default"/>
          <w:lang w:val="en-US" w:eastAsia="zh-CN"/>
        </w:rPr>
        <w:t xml:space="preserve"> on 6G security topics</w:t>
      </w:r>
      <w:r>
        <w:rPr>
          <w:lang w:eastAsia="en-IN"/>
        </w:rPr>
        <w:t xml:space="preserve"> </w:t>
      </w:r>
    </w:p>
    <w:p w14:paraId="7825272A">
      <w:pPr>
        <w:rPr>
          <w:rFonts w:hint="default"/>
          <w:lang w:val="en-US" w:eastAsia="zh-CN"/>
        </w:rPr>
      </w:pPr>
      <w:r>
        <w:rPr>
          <w:rFonts w:hint="default"/>
          <w:lang w:val="en-US" w:eastAsia="zh-CN"/>
        </w:rPr>
        <w:t>There are 2 categories of 6G security topics, #1 is architecture-independent(e.g. PQC, etc ), #2 is architecture dependent topics(e.g. AS security, NAS security, etc. ) which rely on the SA2 progress to some degree.</w:t>
      </w:r>
    </w:p>
    <w:p w14:paraId="51968F16">
      <w:pPr>
        <w:rPr>
          <w:rFonts w:hint="default"/>
          <w:lang w:val="en-US" w:eastAsia="zh-CN"/>
        </w:rPr>
      </w:pPr>
      <w:r>
        <w:rPr>
          <w:rFonts w:hint="default"/>
          <w:lang w:val="en-US" w:eastAsia="zh-CN"/>
        </w:rPr>
        <w:t>1. In SA3#122 meeting in May, if there are any architecture independent topics (Category#1) proposed, they should be prioritized. Whether to approve those proposals is depending on the consensus for sure, but generally those work(Category#1) could start earlier than the architecture-dependent topics(category#2).</w:t>
      </w:r>
    </w:p>
    <w:p w14:paraId="145FD879">
      <w:pPr>
        <w:rPr>
          <w:rFonts w:hint="default"/>
          <w:lang w:val="en-US" w:eastAsia="zh-CN"/>
        </w:rPr>
      </w:pPr>
      <w:r>
        <w:rPr>
          <w:rFonts w:hint="default"/>
          <w:lang w:val="en-US" w:eastAsia="zh-CN"/>
        </w:rPr>
        <w:t>2. In SA3#122 meeting in May, the discussion on the plan of potential 6G security areas(including category#1 and #2) should be triggered, including what security areas should be covered in Category#2, how to coordinate on the overlapped areas, etc. Whether to approve those proposals is depending on the agreement. However it is beneficial to exchange opinions on the essential enhancements and start the discussion for the estimation of TUs.</w:t>
      </w:r>
    </w:p>
    <w:p w14:paraId="4C6F3DB7">
      <w:pPr>
        <w:rPr>
          <w:rFonts w:hint="default"/>
          <w:lang w:val="en-US" w:eastAsia="zh-CN"/>
        </w:rPr>
      </w:pPr>
      <w:r>
        <w:rPr>
          <w:rFonts w:hint="default"/>
          <w:lang w:val="en-US" w:eastAsia="zh-CN"/>
        </w:rPr>
        <w:t>3. In SA3#123 meeting in August, based on the discussion from the conf calls and NWM discussion, the draft SID(s) of 6G will be brought to the meeting and can be approved if the consensus can be reached.</w:t>
      </w:r>
    </w:p>
    <w:p w14:paraId="49C66E68">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#1: In SA3#122 in May, the goal should be approving category#1 SIDs. For category#2 SIDs, it is better to start the discussion on the security areas in the 6G study. </w:t>
      </w:r>
    </w:p>
    <w:p w14:paraId="6EF5CA7B">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#2: In SA3#123 in August, the goal shoud be approving the category#2 6G SID(s) based on the agreement. </w:t>
      </w:r>
    </w:p>
    <w:p w14:paraId="416DE51E">
      <w:pPr>
        <w:pStyle w:val="3"/>
        <w:rPr>
          <w:rFonts w:hint="default"/>
          <w:lang w:val="en-US" w:eastAsia="en-IN"/>
        </w:rPr>
      </w:pPr>
      <w:r>
        <w:rPr>
          <w:lang w:eastAsia="en-IN"/>
        </w:rPr>
        <w:t>4.</w:t>
      </w:r>
      <w:r>
        <w:rPr>
          <w:rFonts w:hint="eastAsia"/>
          <w:lang w:val="en-US" w:eastAsia="zh-CN"/>
        </w:rPr>
        <w:t>2</w:t>
      </w:r>
      <w:r>
        <w:rPr>
          <w:rFonts w:hint="default"/>
          <w:lang w:val="en-US" w:eastAsia="en-IN"/>
        </w:rPr>
        <w:tab/>
      </w:r>
      <w:r>
        <w:rPr>
          <w:rFonts w:hint="eastAsia"/>
          <w:lang w:val="en-US" w:eastAsia="zh-CN"/>
        </w:rPr>
        <w:t xml:space="preserve">SA3 6G security areas </w:t>
      </w:r>
      <w:r>
        <w:rPr>
          <w:rFonts w:hint="default"/>
          <w:lang w:val="en-US" w:eastAsia="zh-CN"/>
        </w:rPr>
        <w:t>consideration</w:t>
      </w:r>
    </w:p>
    <w:p w14:paraId="42F5C8E2">
      <w:pPr>
        <w:rPr>
          <w:rFonts w:hint="default"/>
          <w:lang w:val="en-US" w:eastAsia="zh-CN"/>
        </w:rPr>
      </w:pPr>
      <w:r>
        <w:rPr>
          <w:rFonts w:hint="default"/>
          <w:lang w:val="en-US" w:eastAsia="zh-CN"/>
        </w:rPr>
        <w:t xml:space="preserve">In 5G phase1 TR 33.899, there were 17 security areas: </w:t>
      </w:r>
    </w:p>
    <w:p w14:paraId="6D10175C">
      <w:pPr>
        <w:rPr>
          <w:rFonts w:hint="default"/>
          <w:lang w:val="en-US" w:eastAsia="zh-CN"/>
        </w:rPr>
      </w:pPr>
      <w:r>
        <w:rPr>
          <w:rFonts w:hint="default"/>
          <w:lang w:val="en-US" w:eastAsia="zh-CN"/>
        </w:rPr>
        <w:t xml:space="preserve">- </w:t>
      </w:r>
      <w:r>
        <w:t>Security area #1: Architectural aspects of Next Generation security</w:t>
      </w:r>
    </w:p>
    <w:p w14:paraId="44706EFD">
      <w:pPr>
        <w:rPr>
          <w:rFonts w:hint="default"/>
          <w:lang w:val="en-US" w:eastAsia="zh-CN"/>
        </w:rPr>
      </w:pPr>
      <w:r>
        <w:rPr>
          <w:rFonts w:hint="default"/>
          <w:lang w:val="en-US" w:eastAsia="zh-CN"/>
        </w:rPr>
        <w:t xml:space="preserve">- </w:t>
      </w:r>
      <w:r>
        <w:t>Security area #2: Authentication</w:t>
      </w:r>
    </w:p>
    <w:p w14:paraId="444A6A0A">
      <w:pPr>
        <w:rPr>
          <w:rFonts w:hint="default"/>
          <w:lang w:val="en-US" w:eastAsia="zh-CN"/>
        </w:rPr>
      </w:pPr>
      <w:r>
        <w:rPr>
          <w:rFonts w:hint="default"/>
          <w:lang w:val="en-US" w:eastAsia="zh-CN"/>
        </w:rPr>
        <w:t xml:space="preserve">- </w:t>
      </w:r>
      <w:r>
        <w:t>Security area #3: Security context and key management</w:t>
      </w:r>
    </w:p>
    <w:p w14:paraId="695FD1BD">
      <w:pPr>
        <w:rPr>
          <w:rFonts w:hint="default"/>
          <w:lang w:val="en-US" w:eastAsia="zh-CN"/>
        </w:rPr>
      </w:pPr>
      <w:r>
        <w:rPr>
          <w:rFonts w:hint="default"/>
          <w:lang w:val="en-US" w:eastAsia="zh-CN"/>
        </w:rPr>
        <w:t xml:space="preserve">- </w:t>
      </w:r>
      <w:r>
        <w:t>Security area #4: RAN security</w:t>
      </w:r>
    </w:p>
    <w:p w14:paraId="152363D2">
      <w:pPr>
        <w:rPr>
          <w:rFonts w:hint="default"/>
          <w:lang w:val="en-US" w:eastAsia="zh-CN"/>
        </w:rPr>
      </w:pPr>
      <w:r>
        <w:rPr>
          <w:rFonts w:hint="default"/>
          <w:lang w:val="en-US"/>
        </w:rPr>
        <w:t xml:space="preserve">- </w:t>
      </w:r>
      <w:r>
        <w:t>Security area #5: Security within NG-UE</w:t>
      </w:r>
    </w:p>
    <w:p w14:paraId="3D8DF393">
      <w:pPr>
        <w:rPr>
          <w:rFonts w:hint="default"/>
          <w:lang w:val="en-US" w:eastAsia="zh-CN"/>
        </w:rPr>
      </w:pPr>
      <w:r>
        <w:rPr>
          <w:rFonts w:hint="default"/>
          <w:lang w:val="en-US"/>
        </w:rPr>
        <w:t xml:space="preserve">- </w:t>
      </w:r>
      <w:r>
        <w:t>Security area #6: Authorization</w:t>
      </w:r>
      <w:r>
        <w:rPr>
          <w:rFonts w:hint="default"/>
          <w:lang w:val="en-US" w:eastAsia="zh-CN"/>
        </w:rPr>
        <w:t xml:space="preserve"> </w:t>
      </w:r>
    </w:p>
    <w:p w14:paraId="1E9F4025">
      <w:pPr>
        <w:rPr>
          <w:rFonts w:hint="default"/>
          <w:lang w:val="en-US" w:eastAsia="zh-CN"/>
        </w:rPr>
      </w:pPr>
      <w:r>
        <w:rPr>
          <w:rFonts w:hint="default"/>
          <w:lang w:val="en-US"/>
        </w:rPr>
        <w:t xml:space="preserve">- </w:t>
      </w:r>
      <w:r>
        <w:t>Security area #7: Subscription privacy</w:t>
      </w:r>
    </w:p>
    <w:p w14:paraId="350E16D8">
      <w:pPr>
        <w:rPr>
          <w:rFonts w:hint="default"/>
          <w:lang w:val="en-US" w:eastAsia="zh-CN"/>
        </w:rPr>
      </w:pPr>
      <w:r>
        <w:rPr>
          <w:rFonts w:hint="default"/>
          <w:lang w:val="en-US" w:eastAsia="zh-CN"/>
        </w:rPr>
        <w:t xml:space="preserve">- </w:t>
      </w:r>
      <w:r>
        <w:t>Security area #8: Network slicing security</w:t>
      </w:r>
    </w:p>
    <w:p w14:paraId="11732AA1">
      <w:pPr>
        <w:rPr>
          <w:rFonts w:hint="default"/>
          <w:lang w:val="en-US" w:eastAsia="zh-CN"/>
        </w:rPr>
      </w:pPr>
      <w:r>
        <w:rPr>
          <w:rFonts w:hint="default"/>
          <w:lang w:val="en-US" w:eastAsia="zh-CN"/>
        </w:rPr>
        <w:t xml:space="preserve">- </w:t>
      </w:r>
      <w:r>
        <w:t>Security area #9: Relay security</w:t>
      </w:r>
    </w:p>
    <w:p w14:paraId="1C9C15D2">
      <w:pPr>
        <w:rPr>
          <w:rFonts w:hint="default"/>
          <w:lang w:val="en-US" w:eastAsia="zh-CN"/>
        </w:rPr>
      </w:pPr>
      <w:r>
        <w:rPr>
          <w:rFonts w:hint="default"/>
          <w:lang w:val="en-US"/>
        </w:rPr>
        <w:t xml:space="preserve">- </w:t>
      </w:r>
      <w:r>
        <w:t>Security area #10: Network domain security</w:t>
      </w:r>
    </w:p>
    <w:p w14:paraId="750259A5">
      <w:pPr>
        <w:rPr>
          <w:rFonts w:hint="default"/>
          <w:lang w:val="en-US" w:eastAsia="zh-CN"/>
        </w:rPr>
      </w:pPr>
      <w:r>
        <w:rPr>
          <w:rFonts w:hint="default"/>
          <w:lang w:val="en-US" w:eastAsia="zh-CN"/>
        </w:rPr>
        <w:t xml:space="preserve">- </w:t>
      </w:r>
      <w:r>
        <w:t>Security area #11: Security visibility and configurability</w:t>
      </w:r>
    </w:p>
    <w:p w14:paraId="34C1926F">
      <w:pPr>
        <w:rPr>
          <w:rFonts w:hint="default"/>
          <w:lang w:val="en-US" w:eastAsia="zh-CN"/>
        </w:rPr>
      </w:pPr>
      <w:r>
        <w:rPr>
          <w:rFonts w:hint="default"/>
          <w:lang w:val="en-US" w:eastAsia="zh-CN"/>
        </w:rPr>
        <w:t xml:space="preserve">- </w:t>
      </w:r>
      <w:r>
        <w:t>Security area #12: Credential provisioning</w:t>
      </w:r>
      <w:r>
        <w:rPr>
          <w:rFonts w:hint="default"/>
          <w:lang w:val="en-US" w:eastAsia="zh-CN"/>
        </w:rPr>
        <w:t xml:space="preserve"> </w:t>
      </w:r>
    </w:p>
    <w:p w14:paraId="6C2D6274">
      <w:pPr>
        <w:rPr>
          <w:rFonts w:hint="default"/>
          <w:lang w:val="en-US" w:eastAsia="zh-CN"/>
        </w:rPr>
      </w:pPr>
      <w:r>
        <w:rPr>
          <w:rFonts w:hint="default"/>
          <w:lang w:val="en-US"/>
        </w:rPr>
        <w:t xml:space="preserve">- </w:t>
      </w:r>
      <w:r>
        <w:t>Security area #13: Security for Interworking and Migration</w:t>
      </w:r>
    </w:p>
    <w:p w14:paraId="3782BD83">
      <w:pPr>
        <w:rPr>
          <w:rFonts w:hint="default"/>
          <w:lang w:val="en-US" w:eastAsia="zh-CN"/>
        </w:rPr>
      </w:pPr>
      <w:r>
        <w:rPr>
          <w:rFonts w:hint="default"/>
          <w:lang w:val="en-US" w:eastAsia="zh-CN"/>
        </w:rPr>
        <w:t xml:space="preserve">- </w:t>
      </w:r>
      <w:r>
        <w:t>Security area #14: Security aspects of small data</w:t>
      </w:r>
    </w:p>
    <w:p w14:paraId="0E6F3DE1">
      <w:pPr>
        <w:rPr>
          <w:rFonts w:hint="default"/>
          <w:lang w:val="en-US" w:eastAsia="zh-CN"/>
        </w:rPr>
      </w:pPr>
      <w:r>
        <w:rPr>
          <w:rFonts w:hint="default"/>
          <w:lang w:val="en-US"/>
        </w:rPr>
        <w:t xml:space="preserve">- </w:t>
      </w:r>
      <w:r>
        <w:t>Security area #15: Broadcast/Multicast Security</w:t>
      </w:r>
    </w:p>
    <w:p w14:paraId="49B9C88A">
      <w:pPr>
        <w:rPr>
          <w:rFonts w:hint="default"/>
          <w:lang w:val="en-US" w:eastAsia="zh-CN"/>
        </w:rPr>
      </w:pPr>
      <w:r>
        <w:rPr>
          <w:rFonts w:hint="default"/>
          <w:lang w:val="en-US" w:eastAsia="zh-CN"/>
        </w:rPr>
        <w:t xml:space="preserve">- </w:t>
      </w:r>
      <w:r>
        <w:rPr>
          <w:lang w:eastAsia="zh-CN"/>
        </w:rPr>
        <w:t>Security area #16 Management security</w:t>
      </w:r>
    </w:p>
    <w:p w14:paraId="6B2A73A9">
      <w:r>
        <w:rPr>
          <w:rFonts w:hint="default"/>
          <w:lang w:val="en-US"/>
        </w:rPr>
        <w:t xml:space="preserve">- </w:t>
      </w:r>
      <w:r>
        <w:t>Security area #17: Cryptographic algorithms</w:t>
      </w:r>
    </w:p>
    <w:p w14:paraId="0DB2B9B2">
      <w:pPr>
        <w:rPr>
          <w:rFonts w:hint="default"/>
          <w:lang w:val="en-US" w:eastAsia="zh-CN"/>
        </w:rPr>
      </w:pPr>
      <w:r>
        <w:rPr>
          <w:rFonts w:hint="default"/>
          <w:lang w:val="en-US" w:eastAsia="zh-CN"/>
        </w:rPr>
        <w:t>The above 17 security areas can be re-categorized based on impacted entities</w:t>
      </w:r>
      <w:r>
        <w:rPr>
          <w:rFonts w:hint="eastAsia"/>
          <w:lang w:val="en-US" w:eastAsia="zh-CN"/>
        </w:rPr>
        <w:t xml:space="preserve"> </w:t>
      </w:r>
      <w:r>
        <w:rPr>
          <w:rFonts w:hint="default"/>
          <w:lang w:val="en-US" w:eastAsia="zh-CN"/>
        </w:rPr>
        <w:t xml:space="preserve">and the intefaces for the </w:t>
      </w:r>
      <w:r>
        <w:rPr>
          <w:rFonts w:hint="eastAsia"/>
          <w:lang w:val="en-US" w:eastAsia="zh-CN"/>
        </w:rPr>
        <w:t>better</w:t>
      </w:r>
      <w:r>
        <w:rPr>
          <w:rFonts w:hint="default"/>
          <w:lang w:val="en-US" w:eastAsia="zh-CN"/>
        </w:rPr>
        <w:t xml:space="preserve"> arrangement of the whole security architecture design. For example, authentication, authorization, security interworking and migration can be grouped into NAS security. Some features can be considered later when there is more discussion in SA2 on architecture, e.g. #8, #9, #14, #15. In summary, the 17 security areas are good reference for starting the 6G security, but not necessarily to be strictly followed. </w:t>
      </w:r>
    </w:p>
    <w:p w14:paraId="33FBDD44">
      <w:pPr>
        <w:rPr>
          <w:rFonts w:hint="default"/>
          <w:lang w:val="en-US" w:eastAsia="zh-CN"/>
        </w:rPr>
      </w:pPr>
      <w:r>
        <w:rPr>
          <w:rFonts w:hint="default"/>
          <w:lang w:val="en-US" w:eastAsia="zh-CN"/>
        </w:rPr>
        <w:t xml:space="preserve">Based on the current 5G security specification TS 33.501, and the security domain captured in Clause 4.1, it is suggested to set up 5 security areas in 6G security study: </w:t>
      </w:r>
    </w:p>
    <w:p w14:paraId="58305D45">
      <w:pPr>
        <w:rPr>
          <w:rFonts w:hint="default"/>
          <w:lang w:val="en-US" w:eastAsia="zh-CN"/>
        </w:rPr>
      </w:pPr>
      <w:r>
        <w:rPr>
          <w:rFonts w:hint="default"/>
          <w:lang w:val="en-US" w:eastAsia="zh-CN"/>
        </w:rPr>
        <w:t xml:space="preserve">- </w:t>
      </w:r>
      <w:r>
        <w:rPr>
          <w:rFonts w:hint="default" w:ascii="Times New Roman Bold" w:hAnsi="Times New Roman Bold" w:cs="Times New Roman Bold"/>
          <w:b/>
          <w:bCs/>
          <w:lang w:val="en-US" w:eastAsia="zh-CN"/>
        </w:rPr>
        <w:t xml:space="preserve">6G </w:t>
      </w:r>
      <w:r>
        <w:rPr>
          <w:rFonts w:hint="default" w:ascii="Times New Roman Bold" w:hAnsi="Times New Roman Bold" w:cs="Times New Roman Bold"/>
          <w:b/>
          <w:bCs/>
        </w:rPr>
        <w:t>Security area #1</w:t>
      </w:r>
      <w:r>
        <w:rPr>
          <w:rFonts w:hint="default" w:ascii="Times New Roman Bold" w:hAnsi="Times New Roman Bold" w:cs="Times New Roman Bold"/>
          <w:b/>
          <w:bCs/>
          <w:lang w:val="en-US"/>
        </w:rPr>
        <w:t xml:space="preserve">: </w:t>
      </w:r>
      <w:r>
        <w:rPr>
          <w:rFonts w:hint="default" w:ascii="Times New Roman Bold" w:hAnsi="Times New Roman Bold" w:cs="Times New Roman Bold"/>
          <w:b/>
          <w:bCs/>
          <w:lang w:val="en-US" w:eastAsia="zh-CN"/>
        </w:rPr>
        <w:t>AS security</w:t>
      </w:r>
      <w:r>
        <w:rPr>
          <w:rFonts w:hint="default"/>
          <w:lang w:val="en-US" w:eastAsia="zh-CN"/>
        </w:rPr>
        <w:t xml:space="preserve"> (UE to RAN, including the SIB security, MAC layer security, Physical layer security, Xn interfaces security, etc. )</w:t>
      </w:r>
    </w:p>
    <w:p w14:paraId="4C1DCB78">
      <w:pPr>
        <w:ind w:firstLine="284" w:firstLineChars="0"/>
        <w:rPr>
          <w:rFonts w:hint="default"/>
          <w:lang w:val="en-US" w:eastAsia="zh-CN"/>
        </w:rPr>
      </w:pPr>
      <w:r>
        <w:rPr>
          <w:rFonts w:hint="default"/>
          <w:lang w:val="en-US" w:eastAsia="zh-CN"/>
        </w:rPr>
        <w:t xml:space="preserve">NOTE 1: This area impacts the UE, RAN nodes, and the interfaces between UE and RAN, across different layers. The Xn interfaces security includes Xn handover or other procedures impacting Xn interface, so it should be categorized into this area. </w:t>
      </w:r>
    </w:p>
    <w:p w14:paraId="341DC9EA">
      <w:pPr>
        <w:rPr>
          <w:rFonts w:hint="default"/>
          <w:lang w:val="en-US" w:eastAsia="zh-CN"/>
        </w:rPr>
      </w:pPr>
      <w:r>
        <w:rPr>
          <w:rFonts w:hint="default" w:ascii="Times New Roman Bold" w:hAnsi="Times New Roman Bold" w:cs="Times New Roman Bold"/>
          <w:b/>
          <w:bCs/>
          <w:lang w:val="en-US" w:eastAsia="zh-CN"/>
        </w:rPr>
        <w:t xml:space="preserve">- 6G </w:t>
      </w:r>
      <w:r>
        <w:rPr>
          <w:rFonts w:hint="default" w:ascii="Times New Roman Bold" w:hAnsi="Times New Roman Bold" w:cs="Times New Roman Bold"/>
          <w:b/>
          <w:bCs/>
        </w:rPr>
        <w:t>Security area #</w:t>
      </w:r>
      <w:r>
        <w:rPr>
          <w:rFonts w:hint="default" w:ascii="Times New Roman Bold" w:hAnsi="Times New Roman Bold" w:cs="Times New Roman Bold"/>
          <w:b/>
          <w:bCs/>
          <w:lang w:val="en-US"/>
        </w:rPr>
        <w:t xml:space="preserve">2: </w:t>
      </w:r>
      <w:r>
        <w:rPr>
          <w:rFonts w:hint="default" w:ascii="Times New Roman Bold" w:hAnsi="Times New Roman Bold" w:cs="Times New Roman Bold"/>
          <w:b/>
          <w:bCs/>
          <w:lang w:val="en-US" w:eastAsia="zh-CN"/>
        </w:rPr>
        <w:t>NAS security and Interworking</w:t>
      </w:r>
      <w:r>
        <w:rPr>
          <w:rFonts w:hint="default"/>
          <w:lang w:val="en-US" w:eastAsia="zh-CN"/>
        </w:rPr>
        <w:t xml:space="preserve"> (UE to CN, including Authentication, UP security, interworking, N2 handover, etc.)</w:t>
      </w:r>
    </w:p>
    <w:p w14:paraId="19F62A64">
      <w:pPr>
        <w:ind w:firstLine="284" w:firstLineChars="0"/>
        <w:rPr>
          <w:rFonts w:hint="default"/>
          <w:lang w:val="en-US" w:eastAsia="zh-CN"/>
        </w:rPr>
      </w:pPr>
      <w:r>
        <w:rPr>
          <w:rFonts w:hint="default"/>
          <w:lang w:val="en-US" w:eastAsia="zh-CN"/>
        </w:rPr>
        <w:t xml:space="preserve">NOTE 2: This area impacts the UE, core network, and the interfaces among UE and CN entities. The interworking procedure </w:t>
      </w:r>
      <w:r>
        <w:rPr>
          <w:rFonts w:hint="eastAsia"/>
          <w:lang w:val="en-US" w:eastAsia="zh-CN"/>
        </w:rPr>
        <w:t>i</w:t>
      </w:r>
      <w:r>
        <w:rPr>
          <w:rFonts w:hint="default"/>
          <w:lang w:val="en-US" w:eastAsia="zh-CN"/>
        </w:rPr>
        <w:t xml:space="preserve">nvolves UE and CN entities, thus it should be categorized into this area. </w:t>
      </w:r>
    </w:p>
    <w:p w14:paraId="3DAB8BF0">
      <w:pPr>
        <w:rPr>
          <w:rFonts w:hint="default"/>
          <w:lang w:val="en-US" w:eastAsia="zh-CN"/>
        </w:rPr>
      </w:pPr>
      <w:r>
        <w:rPr>
          <w:rFonts w:hint="default" w:ascii="Times New Roman Bold" w:hAnsi="Times New Roman Bold" w:cs="Times New Roman Bold"/>
          <w:b/>
          <w:bCs/>
          <w:lang w:val="en-US" w:eastAsia="zh-CN"/>
        </w:rPr>
        <w:t xml:space="preserve">- 6G </w:t>
      </w:r>
      <w:r>
        <w:rPr>
          <w:rFonts w:hint="default" w:ascii="Times New Roman Bold" w:hAnsi="Times New Roman Bold" w:cs="Times New Roman Bold"/>
          <w:b/>
          <w:bCs/>
        </w:rPr>
        <w:t>Security area #</w:t>
      </w:r>
      <w:r>
        <w:rPr>
          <w:rFonts w:hint="default" w:ascii="Times New Roman Bold" w:hAnsi="Times New Roman Bold" w:cs="Times New Roman Bold"/>
          <w:b/>
          <w:bCs/>
          <w:lang w:val="en-US"/>
        </w:rPr>
        <w:t xml:space="preserve">3: </w:t>
      </w:r>
      <w:r>
        <w:rPr>
          <w:rFonts w:hint="default" w:ascii="Times New Roman Bold" w:hAnsi="Times New Roman Bold" w:cs="Times New Roman Bold"/>
          <w:b/>
          <w:bCs/>
          <w:lang w:val="en-US" w:eastAsia="zh-CN"/>
        </w:rPr>
        <w:t>NDS security</w:t>
      </w:r>
      <w:r>
        <w:rPr>
          <w:rFonts w:hint="default"/>
          <w:lang w:val="en-US" w:eastAsia="zh-CN"/>
        </w:rPr>
        <w:t xml:space="preserve">(including SEPP, Network management, network exposure, etc. ), </w:t>
      </w:r>
    </w:p>
    <w:p w14:paraId="0E80DCC6">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- 6G </w:t>
      </w:r>
      <w:r>
        <w:rPr>
          <w:rFonts w:hint="default" w:ascii="Times New Roman Bold" w:hAnsi="Times New Roman Bold" w:cs="Times New Roman Bold"/>
          <w:b/>
          <w:bCs/>
        </w:rPr>
        <w:t>Security area #</w:t>
      </w:r>
      <w:r>
        <w:rPr>
          <w:rFonts w:hint="default" w:ascii="Times New Roman Bold" w:hAnsi="Times New Roman Bold" w:cs="Times New Roman Bold"/>
          <w:b/>
          <w:bCs/>
          <w:lang w:val="en-US"/>
        </w:rPr>
        <w:t xml:space="preserve">4: </w:t>
      </w:r>
      <w:r>
        <w:rPr>
          <w:rFonts w:hint="default" w:ascii="Times New Roman Bold" w:hAnsi="Times New Roman Bold" w:cs="Times New Roman Bold"/>
          <w:b/>
          <w:bCs/>
          <w:lang w:val="en-US" w:eastAsia="zh-CN"/>
        </w:rPr>
        <w:t>Non-3GPP security</w:t>
      </w:r>
    </w:p>
    <w:p w14:paraId="3E366E39">
      <w:pPr>
        <w:rPr>
          <w:rFonts w:hint="default"/>
          <w:lang w:val="en-US" w:eastAsia="zh-CN"/>
        </w:rPr>
      </w:pPr>
      <w:r>
        <w:rPr>
          <w:rFonts w:hint="default" w:ascii="Times New Roman Bold" w:hAnsi="Times New Roman Bold" w:cs="Times New Roman Bold"/>
          <w:b/>
          <w:bCs/>
          <w:lang w:val="en-US" w:eastAsia="zh-CN"/>
        </w:rPr>
        <w:t xml:space="preserve">- 6G </w:t>
      </w:r>
      <w:r>
        <w:rPr>
          <w:rFonts w:hint="default" w:ascii="Times New Roman Bold" w:hAnsi="Times New Roman Bold" w:cs="Times New Roman Bold"/>
          <w:b/>
          <w:bCs/>
        </w:rPr>
        <w:t>Security area #</w:t>
      </w:r>
      <w:r>
        <w:rPr>
          <w:rFonts w:hint="default" w:ascii="Times New Roman Bold" w:hAnsi="Times New Roman Bold" w:cs="Times New Roman Bold"/>
          <w:b/>
          <w:bCs/>
          <w:lang w:val="en-US"/>
        </w:rPr>
        <w:t xml:space="preserve">5: </w:t>
      </w:r>
      <w:r>
        <w:rPr>
          <w:rFonts w:hint="default" w:ascii="Times New Roman Bold" w:hAnsi="Times New Roman Bold" w:cs="Times New Roman Bold"/>
          <w:b/>
          <w:bCs/>
          <w:lang w:val="en-US" w:eastAsia="zh-CN"/>
        </w:rPr>
        <w:t>Privacy enhancement</w:t>
      </w:r>
      <w:r>
        <w:rPr>
          <w:rFonts w:hint="default"/>
          <w:lang w:val="en-US" w:eastAsia="zh-CN"/>
        </w:rPr>
        <w:t xml:space="preserve"> (including potential </w:t>
      </w:r>
      <w:r>
        <w:t>Subscription privacy</w:t>
      </w:r>
      <w:r>
        <w:rPr>
          <w:rFonts w:hint="default"/>
          <w:lang w:val="en-US" w:eastAsia="zh-CN"/>
        </w:rPr>
        <w:t xml:space="preserve"> enhancement, and user consent framework enhancement, </w:t>
      </w:r>
      <w:r>
        <w:t>Cryptographic algorithms</w:t>
      </w:r>
      <w:r>
        <w:rPr>
          <w:rFonts w:hint="default"/>
          <w:lang w:val="en-US"/>
        </w:rPr>
        <w:t xml:space="preserve">, </w:t>
      </w:r>
      <w:r>
        <w:rPr>
          <w:rFonts w:hint="default"/>
          <w:lang w:val="en-US" w:eastAsia="zh-CN"/>
        </w:rPr>
        <w:t>etc. )</w:t>
      </w:r>
    </w:p>
    <w:p w14:paraId="51C13D90">
      <w:pPr>
        <w:ind w:firstLine="284" w:firstLineChars="0"/>
        <w:rPr>
          <w:rFonts w:hint="default"/>
          <w:lang w:val="en-US" w:eastAsia="zh-CN"/>
        </w:rPr>
      </w:pPr>
      <w:r>
        <w:rPr>
          <w:rFonts w:hint="default"/>
          <w:lang w:val="en-US" w:eastAsia="zh-CN"/>
        </w:rPr>
        <w:t xml:space="preserve">NOTE 3: This area includes the aspects on any privacy enhancement for the future system and user consent framework enhancement. For the subscription privacy, even though the NAS procedure is including the SUPI concealment, but the basic endpoints of SUCI protection is fixed (assuming there is no significant architecture change from SA2 discussion on 6G architecture), the main improvement is on the mechanism details, e.g. algorithms enhancement. The cryptographic algorithm includes the protocol impact brought by new algorithm(e.g. 256bits) introduction. </w:t>
      </w:r>
    </w:p>
    <w:p w14:paraId="338C659E">
      <w:pPr>
        <w:ind w:firstLine="284" w:firstLineChars="0"/>
        <w:rPr>
          <w:rFonts w:hint="default"/>
          <w:lang w:val="en-US" w:eastAsia="zh-CN"/>
        </w:rPr>
      </w:pPr>
      <w:r>
        <w:rPr>
          <w:rFonts w:hint="default"/>
          <w:lang w:val="en-US" w:eastAsia="zh-CN"/>
        </w:rPr>
        <w:t xml:space="preserve">NOTE 4: SA3 is discussing the new Study on PQC migration, if the new study is agreed and SUPI protection is included, then </w:t>
      </w:r>
      <w:r>
        <w:t>Subscription privacy</w:t>
      </w:r>
      <w:r>
        <w:rPr>
          <w:rFonts w:hint="default"/>
          <w:lang w:val="en-US" w:eastAsia="zh-CN"/>
        </w:rPr>
        <w:t xml:space="preserve"> enhancement and cryptographic algorithms can be removed from 6G SID(s). </w:t>
      </w:r>
    </w:p>
    <w:p w14:paraId="62D43006">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#3: it is suggested to set up 5 security areas in 6G security study, including AS security, NAS and Interworking security, NDS security, Non-3GPP security and Privacy enhancement. </w:t>
      </w:r>
    </w:p>
    <w:p w14:paraId="4826C9DC">
      <w:pPr>
        <w:rPr>
          <w:lang w:eastAsia="en-IN"/>
        </w:rPr>
      </w:pPr>
    </w:p>
    <w:p w14:paraId="131ACD19">
      <w:pPr>
        <w:pStyle w:val="2"/>
        <w:rPr>
          <w:szCs w:val="36"/>
        </w:rPr>
      </w:pPr>
      <w:r>
        <w:rPr>
          <w:szCs w:val="36"/>
        </w:rPr>
        <w:t>5</w:t>
      </w:r>
      <w:r>
        <w:rPr>
          <w:szCs w:val="36"/>
        </w:rPr>
        <w:tab/>
      </w:r>
      <w:r>
        <w:rPr>
          <w:szCs w:val="36"/>
        </w:rPr>
        <w:t>Conclusions and proposals</w:t>
      </w:r>
      <w:bookmarkEnd w:id="1"/>
    </w:p>
    <w:p w14:paraId="063AF933">
      <w:pPr>
        <w:rPr>
          <w:rFonts w:hint="default"/>
          <w:lang w:val="en-US"/>
        </w:rPr>
      </w:pPr>
      <w:r>
        <w:t xml:space="preserve">Based on </w:t>
      </w:r>
      <w:r>
        <w:rPr>
          <w:lang w:val="en-US"/>
        </w:rPr>
        <w:t xml:space="preserve">analysis above, below </w:t>
      </w:r>
      <w:r>
        <w:rPr>
          <w:rFonts w:hint="default"/>
          <w:lang w:val="en-US"/>
        </w:rPr>
        <w:t xml:space="preserve">are the proposals: </w:t>
      </w:r>
    </w:p>
    <w:p w14:paraId="499220D1">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#1: In SA3#122 in May, the goal should be approving category#1 SIDs. For category#2 SIDs, it is better to start the discussion on the security areas in the 6G study. </w:t>
      </w:r>
    </w:p>
    <w:p w14:paraId="26A98575">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#2: In SA3#123 in August, the goal shoud be approving the category#2 6G SID(s) based on the agreement. </w:t>
      </w:r>
    </w:p>
    <w:p w14:paraId="53FE61EC">
      <w:bookmarkStart w:id="2" w:name="_GoBack"/>
      <w:bookmarkEnd w:id="2"/>
      <w:r>
        <w:rPr>
          <w:rFonts w:hint="default" w:ascii="Times New Roman Bold" w:hAnsi="Times New Roman Bold" w:cs="Times New Roman Bold"/>
          <w:b/>
          <w:bCs/>
          <w:lang w:val="en-US" w:eastAsia="zh-CN"/>
        </w:rPr>
        <w:t xml:space="preserve">Proposal #3: it is suggested to set up 5 security areas in 6G security study, including AS security, NAS and Interworking security, NDS security, Non-3GPP security and Privacy enhancement.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502040204020203"/>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苹方-简"/>
    <w:panose1 w:val="020B0604020202020204"/>
    <w:charset w:val="02"/>
    <w:family w:val="modern"/>
    <w:pitch w:val="default"/>
    <w:sig w:usb0="00000000" w:usb1="00000000" w:usb2="0000000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微软雅黑">
    <w:altName w:val="汉仪旗黑"/>
    <w:panose1 w:val="020B0503020204020204"/>
    <w:charset w:val="86"/>
    <w:family w:val="swiss"/>
    <w:pitch w:val="default"/>
    <w:sig w:usb0="00000000" w:usb1="00000000" w:usb2="00000016" w:usb3="00000000" w:csb0="0004001F"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汉仪旗黑">
    <w:panose1 w:val="00020600040101010101"/>
    <w:charset w:val="86"/>
    <w:family w:val="auto"/>
    <w:pitch w:val="default"/>
    <w:sig w:usb0="A00002BF" w:usb1="1ACF7CFA" w:usb2="00000016"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71"/>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Mq0FAFSSqYUtAAAA"/>
    <w:docVar w:name="commondata" w:val="eyJoZGlkIjoiY2FhYmU1NGViNDhiZDEzOGIyMWU0MDZmNDk4ZmRmOWQifQ=="/>
  </w:docVars>
  <w:rsids>
    <w:rsidRoot w:val="00E30155"/>
    <w:rsid w:val="0000082A"/>
    <w:rsid w:val="0000758D"/>
    <w:rsid w:val="000113C4"/>
    <w:rsid w:val="00011E6C"/>
    <w:rsid w:val="000123AB"/>
    <w:rsid w:val="00012515"/>
    <w:rsid w:val="00016AC5"/>
    <w:rsid w:val="00017389"/>
    <w:rsid w:val="00021A9D"/>
    <w:rsid w:val="0002497E"/>
    <w:rsid w:val="00025250"/>
    <w:rsid w:val="00025526"/>
    <w:rsid w:val="00032521"/>
    <w:rsid w:val="0003364E"/>
    <w:rsid w:val="000419D4"/>
    <w:rsid w:val="00046389"/>
    <w:rsid w:val="00051CB6"/>
    <w:rsid w:val="000572B6"/>
    <w:rsid w:val="00063138"/>
    <w:rsid w:val="00070101"/>
    <w:rsid w:val="00070D9E"/>
    <w:rsid w:val="00074722"/>
    <w:rsid w:val="000758CD"/>
    <w:rsid w:val="00080BD5"/>
    <w:rsid w:val="000819D8"/>
    <w:rsid w:val="0008310C"/>
    <w:rsid w:val="00084ED9"/>
    <w:rsid w:val="00086145"/>
    <w:rsid w:val="00090F8A"/>
    <w:rsid w:val="000934A6"/>
    <w:rsid w:val="00093956"/>
    <w:rsid w:val="0009432B"/>
    <w:rsid w:val="0009446D"/>
    <w:rsid w:val="000A1844"/>
    <w:rsid w:val="000A2C6C"/>
    <w:rsid w:val="000A4660"/>
    <w:rsid w:val="000A6269"/>
    <w:rsid w:val="000A6E50"/>
    <w:rsid w:val="000A797D"/>
    <w:rsid w:val="000C1CD5"/>
    <w:rsid w:val="000C4371"/>
    <w:rsid w:val="000C7F83"/>
    <w:rsid w:val="000D1B5B"/>
    <w:rsid w:val="000D27E5"/>
    <w:rsid w:val="000D2E20"/>
    <w:rsid w:val="000D4140"/>
    <w:rsid w:val="000D6B0F"/>
    <w:rsid w:val="000E1066"/>
    <w:rsid w:val="000E1FCD"/>
    <w:rsid w:val="000F5B55"/>
    <w:rsid w:val="000F6C45"/>
    <w:rsid w:val="0010306E"/>
    <w:rsid w:val="0010401F"/>
    <w:rsid w:val="0010618C"/>
    <w:rsid w:val="0011129A"/>
    <w:rsid w:val="0011155B"/>
    <w:rsid w:val="00112865"/>
    <w:rsid w:val="00112FC3"/>
    <w:rsid w:val="0011552F"/>
    <w:rsid w:val="00116F47"/>
    <w:rsid w:val="00124C15"/>
    <w:rsid w:val="00127AB3"/>
    <w:rsid w:val="0013563B"/>
    <w:rsid w:val="00136C79"/>
    <w:rsid w:val="00137905"/>
    <w:rsid w:val="00141701"/>
    <w:rsid w:val="0014434E"/>
    <w:rsid w:val="001447B0"/>
    <w:rsid w:val="00145437"/>
    <w:rsid w:val="00145DF9"/>
    <w:rsid w:val="001571F4"/>
    <w:rsid w:val="00160A14"/>
    <w:rsid w:val="00161E5D"/>
    <w:rsid w:val="00165B9A"/>
    <w:rsid w:val="001662C0"/>
    <w:rsid w:val="00167D68"/>
    <w:rsid w:val="00173FA3"/>
    <w:rsid w:val="00177105"/>
    <w:rsid w:val="00184B6F"/>
    <w:rsid w:val="001861E5"/>
    <w:rsid w:val="0019570E"/>
    <w:rsid w:val="001A1C4B"/>
    <w:rsid w:val="001A3AE3"/>
    <w:rsid w:val="001A491C"/>
    <w:rsid w:val="001B1652"/>
    <w:rsid w:val="001B2386"/>
    <w:rsid w:val="001C3EC8"/>
    <w:rsid w:val="001C4D89"/>
    <w:rsid w:val="001D10A5"/>
    <w:rsid w:val="001D145C"/>
    <w:rsid w:val="001D2BD4"/>
    <w:rsid w:val="001D4333"/>
    <w:rsid w:val="001D59AC"/>
    <w:rsid w:val="001D654F"/>
    <w:rsid w:val="001D6911"/>
    <w:rsid w:val="001D7E16"/>
    <w:rsid w:val="001E1B89"/>
    <w:rsid w:val="001F3AA5"/>
    <w:rsid w:val="001F4EAA"/>
    <w:rsid w:val="001F6530"/>
    <w:rsid w:val="00201947"/>
    <w:rsid w:val="00201D66"/>
    <w:rsid w:val="00202FD6"/>
    <w:rsid w:val="0020395B"/>
    <w:rsid w:val="002046CB"/>
    <w:rsid w:val="00204C15"/>
    <w:rsid w:val="00204DC9"/>
    <w:rsid w:val="002062C0"/>
    <w:rsid w:val="00210817"/>
    <w:rsid w:val="002112D2"/>
    <w:rsid w:val="0021221B"/>
    <w:rsid w:val="00215130"/>
    <w:rsid w:val="00215518"/>
    <w:rsid w:val="002202A5"/>
    <w:rsid w:val="00230002"/>
    <w:rsid w:val="0023514C"/>
    <w:rsid w:val="00243645"/>
    <w:rsid w:val="00244C9A"/>
    <w:rsid w:val="00246341"/>
    <w:rsid w:val="00247216"/>
    <w:rsid w:val="00251254"/>
    <w:rsid w:val="002535F1"/>
    <w:rsid w:val="00262E14"/>
    <w:rsid w:val="00267DD9"/>
    <w:rsid w:val="00270332"/>
    <w:rsid w:val="002861EA"/>
    <w:rsid w:val="002942E3"/>
    <w:rsid w:val="002A1857"/>
    <w:rsid w:val="002A62AE"/>
    <w:rsid w:val="002B0BBC"/>
    <w:rsid w:val="002B22DB"/>
    <w:rsid w:val="002B543F"/>
    <w:rsid w:val="002B6772"/>
    <w:rsid w:val="002C7F38"/>
    <w:rsid w:val="002D7F9D"/>
    <w:rsid w:val="002E2614"/>
    <w:rsid w:val="002E5B3B"/>
    <w:rsid w:val="002E7E73"/>
    <w:rsid w:val="002F1AB9"/>
    <w:rsid w:val="002F4CCC"/>
    <w:rsid w:val="0030542C"/>
    <w:rsid w:val="0030628A"/>
    <w:rsid w:val="0031206B"/>
    <w:rsid w:val="00315D1C"/>
    <w:rsid w:val="00317AE4"/>
    <w:rsid w:val="00323F79"/>
    <w:rsid w:val="003320C2"/>
    <w:rsid w:val="003323B1"/>
    <w:rsid w:val="00333ED5"/>
    <w:rsid w:val="003352B0"/>
    <w:rsid w:val="00344F3E"/>
    <w:rsid w:val="0035122B"/>
    <w:rsid w:val="00352F7B"/>
    <w:rsid w:val="00353451"/>
    <w:rsid w:val="00353EC0"/>
    <w:rsid w:val="00357608"/>
    <w:rsid w:val="0035791B"/>
    <w:rsid w:val="00366352"/>
    <w:rsid w:val="00371032"/>
    <w:rsid w:val="00371B44"/>
    <w:rsid w:val="00371C37"/>
    <w:rsid w:val="00374299"/>
    <w:rsid w:val="0037799E"/>
    <w:rsid w:val="00380857"/>
    <w:rsid w:val="00381383"/>
    <w:rsid w:val="0038278C"/>
    <w:rsid w:val="003875BB"/>
    <w:rsid w:val="00390A1D"/>
    <w:rsid w:val="00394329"/>
    <w:rsid w:val="003A2B9B"/>
    <w:rsid w:val="003A3BE2"/>
    <w:rsid w:val="003A576D"/>
    <w:rsid w:val="003B48C3"/>
    <w:rsid w:val="003B7A3F"/>
    <w:rsid w:val="003C01E0"/>
    <w:rsid w:val="003C122B"/>
    <w:rsid w:val="003C2E76"/>
    <w:rsid w:val="003C3CA8"/>
    <w:rsid w:val="003C5A97"/>
    <w:rsid w:val="003C7A04"/>
    <w:rsid w:val="003D0C08"/>
    <w:rsid w:val="003D21AF"/>
    <w:rsid w:val="003D399D"/>
    <w:rsid w:val="003D40C7"/>
    <w:rsid w:val="003D6BBE"/>
    <w:rsid w:val="003E44D8"/>
    <w:rsid w:val="003F52B2"/>
    <w:rsid w:val="003F55DF"/>
    <w:rsid w:val="003F612D"/>
    <w:rsid w:val="00404498"/>
    <w:rsid w:val="00412810"/>
    <w:rsid w:val="0041512C"/>
    <w:rsid w:val="00421A26"/>
    <w:rsid w:val="00430A34"/>
    <w:rsid w:val="00430E7C"/>
    <w:rsid w:val="00432A25"/>
    <w:rsid w:val="00440414"/>
    <w:rsid w:val="00443F99"/>
    <w:rsid w:val="00445239"/>
    <w:rsid w:val="004469C0"/>
    <w:rsid w:val="00451AF6"/>
    <w:rsid w:val="004558E9"/>
    <w:rsid w:val="0045777E"/>
    <w:rsid w:val="00470EAB"/>
    <w:rsid w:val="00474440"/>
    <w:rsid w:val="00485FA2"/>
    <w:rsid w:val="0048635A"/>
    <w:rsid w:val="00491523"/>
    <w:rsid w:val="004948D6"/>
    <w:rsid w:val="0049598C"/>
    <w:rsid w:val="004959AC"/>
    <w:rsid w:val="00497477"/>
    <w:rsid w:val="004B0E66"/>
    <w:rsid w:val="004B3753"/>
    <w:rsid w:val="004B3B12"/>
    <w:rsid w:val="004C31D2"/>
    <w:rsid w:val="004C3D6F"/>
    <w:rsid w:val="004C3F92"/>
    <w:rsid w:val="004D55C2"/>
    <w:rsid w:val="004D6908"/>
    <w:rsid w:val="004E123E"/>
    <w:rsid w:val="004E1DF2"/>
    <w:rsid w:val="004E2AB5"/>
    <w:rsid w:val="004E4C5E"/>
    <w:rsid w:val="004F01D7"/>
    <w:rsid w:val="004F3275"/>
    <w:rsid w:val="0050157B"/>
    <w:rsid w:val="0050645D"/>
    <w:rsid w:val="00506F6A"/>
    <w:rsid w:val="00513A65"/>
    <w:rsid w:val="00514742"/>
    <w:rsid w:val="00515069"/>
    <w:rsid w:val="00521131"/>
    <w:rsid w:val="005245DD"/>
    <w:rsid w:val="00524B42"/>
    <w:rsid w:val="00527C0B"/>
    <w:rsid w:val="005304C7"/>
    <w:rsid w:val="0053422C"/>
    <w:rsid w:val="0053733F"/>
    <w:rsid w:val="005410F6"/>
    <w:rsid w:val="00547063"/>
    <w:rsid w:val="00555AAC"/>
    <w:rsid w:val="0056169B"/>
    <w:rsid w:val="00563DFC"/>
    <w:rsid w:val="00570504"/>
    <w:rsid w:val="00571AF0"/>
    <w:rsid w:val="005729C4"/>
    <w:rsid w:val="00575466"/>
    <w:rsid w:val="00582D06"/>
    <w:rsid w:val="00584358"/>
    <w:rsid w:val="0059227B"/>
    <w:rsid w:val="005A0A92"/>
    <w:rsid w:val="005A426D"/>
    <w:rsid w:val="005A7FC4"/>
    <w:rsid w:val="005B0966"/>
    <w:rsid w:val="005B4B47"/>
    <w:rsid w:val="005B795D"/>
    <w:rsid w:val="005D2931"/>
    <w:rsid w:val="005F0C43"/>
    <w:rsid w:val="0060514A"/>
    <w:rsid w:val="006055F7"/>
    <w:rsid w:val="006108BF"/>
    <w:rsid w:val="00611C66"/>
    <w:rsid w:val="00612481"/>
    <w:rsid w:val="00612898"/>
    <w:rsid w:val="00613820"/>
    <w:rsid w:val="006152C0"/>
    <w:rsid w:val="00616AB2"/>
    <w:rsid w:val="0062549F"/>
    <w:rsid w:val="00626B5D"/>
    <w:rsid w:val="00640499"/>
    <w:rsid w:val="00640739"/>
    <w:rsid w:val="006413A5"/>
    <w:rsid w:val="00647B64"/>
    <w:rsid w:val="00652248"/>
    <w:rsid w:val="006524B8"/>
    <w:rsid w:val="00655D2E"/>
    <w:rsid w:val="0065786D"/>
    <w:rsid w:val="00657B80"/>
    <w:rsid w:val="00661E74"/>
    <w:rsid w:val="00664EF2"/>
    <w:rsid w:val="00665C5D"/>
    <w:rsid w:val="0066724D"/>
    <w:rsid w:val="00667FF2"/>
    <w:rsid w:val="00673D9A"/>
    <w:rsid w:val="00675B3C"/>
    <w:rsid w:val="00684CF7"/>
    <w:rsid w:val="00687F3E"/>
    <w:rsid w:val="0069495C"/>
    <w:rsid w:val="006C0033"/>
    <w:rsid w:val="006D1F03"/>
    <w:rsid w:val="006D340A"/>
    <w:rsid w:val="006D43F1"/>
    <w:rsid w:val="006D55E5"/>
    <w:rsid w:val="006D7DB6"/>
    <w:rsid w:val="006E15F4"/>
    <w:rsid w:val="006E616A"/>
    <w:rsid w:val="006E6A3D"/>
    <w:rsid w:val="006F2F0A"/>
    <w:rsid w:val="006F3A1E"/>
    <w:rsid w:val="00703072"/>
    <w:rsid w:val="00705B4C"/>
    <w:rsid w:val="00707C42"/>
    <w:rsid w:val="0071254E"/>
    <w:rsid w:val="00715A1D"/>
    <w:rsid w:val="007355B0"/>
    <w:rsid w:val="007428F0"/>
    <w:rsid w:val="00754F7C"/>
    <w:rsid w:val="00756D30"/>
    <w:rsid w:val="00760BB0"/>
    <w:rsid w:val="0076157A"/>
    <w:rsid w:val="007616E6"/>
    <w:rsid w:val="00764853"/>
    <w:rsid w:val="0077165F"/>
    <w:rsid w:val="00772CD8"/>
    <w:rsid w:val="007766CB"/>
    <w:rsid w:val="00777DF0"/>
    <w:rsid w:val="00784593"/>
    <w:rsid w:val="00793C54"/>
    <w:rsid w:val="007A00EF"/>
    <w:rsid w:val="007A5F41"/>
    <w:rsid w:val="007B19EA"/>
    <w:rsid w:val="007B2B5D"/>
    <w:rsid w:val="007B5666"/>
    <w:rsid w:val="007C0A2D"/>
    <w:rsid w:val="007C260F"/>
    <w:rsid w:val="007C27B0"/>
    <w:rsid w:val="007D059C"/>
    <w:rsid w:val="007D3469"/>
    <w:rsid w:val="007E381B"/>
    <w:rsid w:val="007E537E"/>
    <w:rsid w:val="007E7255"/>
    <w:rsid w:val="007F05BA"/>
    <w:rsid w:val="007F300B"/>
    <w:rsid w:val="007F46F8"/>
    <w:rsid w:val="007F5722"/>
    <w:rsid w:val="008004B8"/>
    <w:rsid w:val="008014C3"/>
    <w:rsid w:val="00806486"/>
    <w:rsid w:val="00810E8E"/>
    <w:rsid w:val="00811229"/>
    <w:rsid w:val="008175DC"/>
    <w:rsid w:val="008204C7"/>
    <w:rsid w:val="00822909"/>
    <w:rsid w:val="0083194E"/>
    <w:rsid w:val="008365A5"/>
    <w:rsid w:val="008426C5"/>
    <w:rsid w:val="00844895"/>
    <w:rsid w:val="00850812"/>
    <w:rsid w:val="00852483"/>
    <w:rsid w:val="0085332E"/>
    <w:rsid w:val="00853B1F"/>
    <w:rsid w:val="00854EE2"/>
    <w:rsid w:val="0086178C"/>
    <w:rsid w:val="00867DBE"/>
    <w:rsid w:val="008729AC"/>
    <w:rsid w:val="00872E07"/>
    <w:rsid w:val="00874A78"/>
    <w:rsid w:val="00874B12"/>
    <w:rsid w:val="00876B9A"/>
    <w:rsid w:val="00876F44"/>
    <w:rsid w:val="0087749A"/>
    <w:rsid w:val="0088347A"/>
    <w:rsid w:val="008841F2"/>
    <w:rsid w:val="0088776C"/>
    <w:rsid w:val="008933BF"/>
    <w:rsid w:val="008A10C4"/>
    <w:rsid w:val="008A43DE"/>
    <w:rsid w:val="008A4DE8"/>
    <w:rsid w:val="008B0248"/>
    <w:rsid w:val="008B0969"/>
    <w:rsid w:val="008B313F"/>
    <w:rsid w:val="008B3815"/>
    <w:rsid w:val="008C17C9"/>
    <w:rsid w:val="008D0F68"/>
    <w:rsid w:val="008D1D3D"/>
    <w:rsid w:val="008D5D2F"/>
    <w:rsid w:val="008D6004"/>
    <w:rsid w:val="008F52E9"/>
    <w:rsid w:val="008F5F33"/>
    <w:rsid w:val="008F6E4B"/>
    <w:rsid w:val="008F7A14"/>
    <w:rsid w:val="008F7D8C"/>
    <w:rsid w:val="0090006F"/>
    <w:rsid w:val="00900C06"/>
    <w:rsid w:val="00902B02"/>
    <w:rsid w:val="00904811"/>
    <w:rsid w:val="00904D59"/>
    <w:rsid w:val="0091046A"/>
    <w:rsid w:val="00913CD4"/>
    <w:rsid w:val="00915425"/>
    <w:rsid w:val="00916BDB"/>
    <w:rsid w:val="00920DE6"/>
    <w:rsid w:val="009262A8"/>
    <w:rsid w:val="00926ABD"/>
    <w:rsid w:val="009279B2"/>
    <w:rsid w:val="00936243"/>
    <w:rsid w:val="00947CC8"/>
    <w:rsid w:val="00947F20"/>
    <w:rsid w:val="00947F4E"/>
    <w:rsid w:val="0095027B"/>
    <w:rsid w:val="009564A9"/>
    <w:rsid w:val="009600D2"/>
    <w:rsid w:val="00966D47"/>
    <w:rsid w:val="009744EC"/>
    <w:rsid w:val="009750AF"/>
    <w:rsid w:val="00980192"/>
    <w:rsid w:val="0098391E"/>
    <w:rsid w:val="00992312"/>
    <w:rsid w:val="00994F4E"/>
    <w:rsid w:val="00996999"/>
    <w:rsid w:val="00997918"/>
    <w:rsid w:val="009A0B20"/>
    <w:rsid w:val="009A1CB6"/>
    <w:rsid w:val="009A2A3E"/>
    <w:rsid w:val="009A56B8"/>
    <w:rsid w:val="009A6B05"/>
    <w:rsid w:val="009B3B26"/>
    <w:rsid w:val="009C0DED"/>
    <w:rsid w:val="009C1A85"/>
    <w:rsid w:val="009C20C7"/>
    <w:rsid w:val="009C43A9"/>
    <w:rsid w:val="009C4695"/>
    <w:rsid w:val="009D1DA9"/>
    <w:rsid w:val="009D38DE"/>
    <w:rsid w:val="009D5A70"/>
    <w:rsid w:val="009E133A"/>
    <w:rsid w:val="009E7245"/>
    <w:rsid w:val="00A013E6"/>
    <w:rsid w:val="00A03504"/>
    <w:rsid w:val="00A03FC0"/>
    <w:rsid w:val="00A11B36"/>
    <w:rsid w:val="00A12869"/>
    <w:rsid w:val="00A147F4"/>
    <w:rsid w:val="00A2128E"/>
    <w:rsid w:val="00A21993"/>
    <w:rsid w:val="00A22752"/>
    <w:rsid w:val="00A32237"/>
    <w:rsid w:val="00A33693"/>
    <w:rsid w:val="00A37D7F"/>
    <w:rsid w:val="00A37E48"/>
    <w:rsid w:val="00A40F43"/>
    <w:rsid w:val="00A41232"/>
    <w:rsid w:val="00A44A08"/>
    <w:rsid w:val="00A46410"/>
    <w:rsid w:val="00A47A59"/>
    <w:rsid w:val="00A5194E"/>
    <w:rsid w:val="00A5268E"/>
    <w:rsid w:val="00A54124"/>
    <w:rsid w:val="00A54402"/>
    <w:rsid w:val="00A5448F"/>
    <w:rsid w:val="00A5554F"/>
    <w:rsid w:val="00A55D8F"/>
    <w:rsid w:val="00A57688"/>
    <w:rsid w:val="00A60108"/>
    <w:rsid w:val="00A61025"/>
    <w:rsid w:val="00A61307"/>
    <w:rsid w:val="00A65869"/>
    <w:rsid w:val="00A72813"/>
    <w:rsid w:val="00A756BF"/>
    <w:rsid w:val="00A82CB8"/>
    <w:rsid w:val="00A84A94"/>
    <w:rsid w:val="00A86BF7"/>
    <w:rsid w:val="00A870DE"/>
    <w:rsid w:val="00A959C4"/>
    <w:rsid w:val="00A968BF"/>
    <w:rsid w:val="00A96B4A"/>
    <w:rsid w:val="00AA04EF"/>
    <w:rsid w:val="00AA1497"/>
    <w:rsid w:val="00AA7D5F"/>
    <w:rsid w:val="00AB14DE"/>
    <w:rsid w:val="00AC21D3"/>
    <w:rsid w:val="00AC47AD"/>
    <w:rsid w:val="00AD190E"/>
    <w:rsid w:val="00AD1DAA"/>
    <w:rsid w:val="00AD546E"/>
    <w:rsid w:val="00AE66EC"/>
    <w:rsid w:val="00AF1E23"/>
    <w:rsid w:val="00AF7F81"/>
    <w:rsid w:val="00B01AFF"/>
    <w:rsid w:val="00B04F09"/>
    <w:rsid w:val="00B05CC7"/>
    <w:rsid w:val="00B14B6A"/>
    <w:rsid w:val="00B16AE6"/>
    <w:rsid w:val="00B27E39"/>
    <w:rsid w:val="00B33EE0"/>
    <w:rsid w:val="00B350D8"/>
    <w:rsid w:val="00B363B4"/>
    <w:rsid w:val="00B5545D"/>
    <w:rsid w:val="00B67757"/>
    <w:rsid w:val="00B72527"/>
    <w:rsid w:val="00B76763"/>
    <w:rsid w:val="00B7732B"/>
    <w:rsid w:val="00B83463"/>
    <w:rsid w:val="00B879F0"/>
    <w:rsid w:val="00B964DF"/>
    <w:rsid w:val="00BA0741"/>
    <w:rsid w:val="00BA445F"/>
    <w:rsid w:val="00BA5B81"/>
    <w:rsid w:val="00BB2EE4"/>
    <w:rsid w:val="00BC0C6B"/>
    <w:rsid w:val="00BC25AA"/>
    <w:rsid w:val="00BC2CE8"/>
    <w:rsid w:val="00BC7246"/>
    <w:rsid w:val="00BC73C2"/>
    <w:rsid w:val="00BD6321"/>
    <w:rsid w:val="00BD73BA"/>
    <w:rsid w:val="00BE3B9A"/>
    <w:rsid w:val="00BF0D80"/>
    <w:rsid w:val="00BF2C84"/>
    <w:rsid w:val="00C01521"/>
    <w:rsid w:val="00C022E3"/>
    <w:rsid w:val="00C048A9"/>
    <w:rsid w:val="00C05C68"/>
    <w:rsid w:val="00C06210"/>
    <w:rsid w:val="00C12D2B"/>
    <w:rsid w:val="00C16A57"/>
    <w:rsid w:val="00C17C88"/>
    <w:rsid w:val="00C17DCC"/>
    <w:rsid w:val="00C25EA3"/>
    <w:rsid w:val="00C306F2"/>
    <w:rsid w:val="00C4394B"/>
    <w:rsid w:val="00C468E3"/>
    <w:rsid w:val="00C4712D"/>
    <w:rsid w:val="00C51E6D"/>
    <w:rsid w:val="00C555C9"/>
    <w:rsid w:val="00C6035E"/>
    <w:rsid w:val="00C61998"/>
    <w:rsid w:val="00C62448"/>
    <w:rsid w:val="00C62BC2"/>
    <w:rsid w:val="00C70122"/>
    <w:rsid w:val="00C82277"/>
    <w:rsid w:val="00C840B7"/>
    <w:rsid w:val="00C87552"/>
    <w:rsid w:val="00C9084A"/>
    <w:rsid w:val="00C94489"/>
    <w:rsid w:val="00C94F55"/>
    <w:rsid w:val="00C9683B"/>
    <w:rsid w:val="00CA3089"/>
    <w:rsid w:val="00CA7D62"/>
    <w:rsid w:val="00CB07A8"/>
    <w:rsid w:val="00CB2FDF"/>
    <w:rsid w:val="00CB5119"/>
    <w:rsid w:val="00CC3977"/>
    <w:rsid w:val="00CC70DA"/>
    <w:rsid w:val="00CD4A57"/>
    <w:rsid w:val="00CE1C5B"/>
    <w:rsid w:val="00CF3393"/>
    <w:rsid w:val="00CF66B7"/>
    <w:rsid w:val="00D0392B"/>
    <w:rsid w:val="00D06626"/>
    <w:rsid w:val="00D07CD6"/>
    <w:rsid w:val="00D11F62"/>
    <w:rsid w:val="00D15533"/>
    <w:rsid w:val="00D21C9F"/>
    <w:rsid w:val="00D26413"/>
    <w:rsid w:val="00D33604"/>
    <w:rsid w:val="00D33F33"/>
    <w:rsid w:val="00D34446"/>
    <w:rsid w:val="00D37B08"/>
    <w:rsid w:val="00D4273A"/>
    <w:rsid w:val="00D42AA1"/>
    <w:rsid w:val="00D437FF"/>
    <w:rsid w:val="00D47302"/>
    <w:rsid w:val="00D50C47"/>
    <w:rsid w:val="00D5130C"/>
    <w:rsid w:val="00D53B44"/>
    <w:rsid w:val="00D53DA0"/>
    <w:rsid w:val="00D5561C"/>
    <w:rsid w:val="00D563B2"/>
    <w:rsid w:val="00D56793"/>
    <w:rsid w:val="00D57572"/>
    <w:rsid w:val="00D61819"/>
    <w:rsid w:val="00D61AA2"/>
    <w:rsid w:val="00D62265"/>
    <w:rsid w:val="00D64503"/>
    <w:rsid w:val="00D67D25"/>
    <w:rsid w:val="00D77B05"/>
    <w:rsid w:val="00D80161"/>
    <w:rsid w:val="00D8512E"/>
    <w:rsid w:val="00DA1E58"/>
    <w:rsid w:val="00DA29BE"/>
    <w:rsid w:val="00DA5E30"/>
    <w:rsid w:val="00DA7002"/>
    <w:rsid w:val="00DB18C5"/>
    <w:rsid w:val="00DB21DB"/>
    <w:rsid w:val="00DC55EC"/>
    <w:rsid w:val="00DD11C0"/>
    <w:rsid w:val="00DD1DCA"/>
    <w:rsid w:val="00DD2A0F"/>
    <w:rsid w:val="00DD6F7E"/>
    <w:rsid w:val="00DE2B85"/>
    <w:rsid w:val="00DE4EF2"/>
    <w:rsid w:val="00DE6DEE"/>
    <w:rsid w:val="00DF0967"/>
    <w:rsid w:val="00DF2C0E"/>
    <w:rsid w:val="00E03586"/>
    <w:rsid w:val="00E04DB6"/>
    <w:rsid w:val="00E06FFB"/>
    <w:rsid w:val="00E12024"/>
    <w:rsid w:val="00E123A9"/>
    <w:rsid w:val="00E14051"/>
    <w:rsid w:val="00E26AE1"/>
    <w:rsid w:val="00E30155"/>
    <w:rsid w:val="00E35268"/>
    <w:rsid w:val="00E410FA"/>
    <w:rsid w:val="00E412A4"/>
    <w:rsid w:val="00E422AF"/>
    <w:rsid w:val="00E4405A"/>
    <w:rsid w:val="00E55BB5"/>
    <w:rsid w:val="00E610CF"/>
    <w:rsid w:val="00E70454"/>
    <w:rsid w:val="00E7047E"/>
    <w:rsid w:val="00E84AAC"/>
    <w:rsid w:val="00E91FE1"/>
    <w:rsid w:val="00E94349"/>
    <w:rsid w:val="00E96F3B"/>
    <w:rsid w:val="00EA0E5E"/>
    <w:rsid w:val="00EA1B9C"/>
    <w:rsid w:val="00EA27E3"/>
    <w:rsid w:val="00EA5E95"/>
    <w:rsid w:val="00EB1CF6"/>
    <w:rsid w:val="00EB2373"/>
    <w:rsid w:val="00EB4A74"/>
    <w:rsid w:val="00EB6331"/>
    <w:rsid w:val="00EC4E46"/>
    <w:rsid w:val="00EC797C"/>
    <w:rsid w:val="00EC7C88"/>
    <w:rsid w:val="00ED2A5C"/>
    <w:rsid w:val="00ED450C"/>
    <w:rsid w:val="00ED4954"/>
    <w:rsid w:val="00EE0943"/>
    <w:rsid w:val="00EE33A2"/>
    <w:rsid w:val="00EF44DC"/>
    <w:rsid w:val="00EF741C"/>
    <w:rsid w:val="00F02669"/>
    <w:rsid w:val="00F0643B"/>
    <w:rsid w:val="00F1329A"/>
    <w:rsid w:val="00F133DF"/>
    <w:rsid w:val="00F1552E"/>
    <w:rsid w:val="00F21F51"/>
    <w:rsid w:val="00F22013"/>
    <w:rsid w:val="00F236A2"/>
    <w:rsid w:val="00F25FC7"/>
    <w:rsid w:val="00F262ED"/>
    <w:rsid w:val="00F27913"/>
    <w:rsid w:val="00F3384C"/>
    <w:rsid w:val="00F4400D"/>
    <w:rsid w:val="00F4437F"/>
    <w:rsid w:val="00F44F50"/>
    <w:rsid w:val="00F52B74"/>
    <w:rsid w:val="00F61F07"/>
    <w:rsid w:val="00F62D19"/>
    <w:rsid w:val="00F6426B"/>
    <w:rsid w:val="00F64391"/>
    <w:rsid w:val="00F6648D"/>
    <w:rsid w:val="00F6728A"/>
    <w:rsid w:val="00F67A1C"/>
    <w:rsid w:val="00F80F9B"/>
    <w:rsid w:val="00F82C5B"/>
    <w:rsid w:val="00F8555F"/>
    <w:rsid w:val="00F91EFE"/>
    <w:rsid w:val="00FC3C2E"/>
    <w:rsid w:val="00FC3D37"/>
    <w:rsid w:val="00FC4798"/>
    <w:rsid w:val="00FD1A93"/>
    <w:rsid w:val="00FD39C3"/>
    <w:rsid w:val="00FD6542"/>
    <w:rsid w:val="00FD7211"/>
    <w:rsid w:val="00FF0D2E"/>
    <w:rsid w:val="00FF0EFC"/>
    <w:rsid w:val="00FF1276"/>
    <w:rsid w:val="00FF7558"/>
    <w:rsid w:val="04FBD5A4"/>
    <w:rsid w:val="0DFF557B"/>
    <w:rsid w:val="1FDFDE05"/>
    <w:rsid w:val="1FFFA3D9"/>
    <w:rsid w:val="2B324E98"/>
    <w:rsid w:val="35EE6029"/>
    <w:rsid w:val="38B92508"/>
    <w:rsid w:val="3BBDFF16"/>
    <w:rsid w:val="4FF76505"/>
    <w:rsid w:val="572A23E4"/>
    <w:rsid w:val="5C7B1812"/>
    <w:rsid w:val="5E7F82C1"/>
    <w:rsid w:val="63574E7D"/>
    <w:rsid w:val="67BF6824"/>
    <w:rsid w:val="6DAB400E"/>
    <w:rsid w:val="6FBDA775"/>
    <w:rsid w:val="7163E471"/>
    <w:rsid w:val="7172D9BD"/>
    <w:rsid w:val="75BDF23E"/>
    <w:rsid w:val="763E36CD"/>
    <w:rsid w:val="76BB7451"/>
    <w:rsid w:val="77BFBBA1"/>
    <w:rsid w:val="77D797C5"/>
    <w:rsid w:val="77F5054E"/>
    <w:rsid w:val="797BADA0"/>
    <w:rsid w:val="7BBF5532"/>
    <w:rsid w:val="7D0211B1"/>
    <w:rsid w:val="7EFDAE94"/>
    <w:rsid w:val="7EFF18B6"/>
    <w:rsid w:val="7F658916"/>
    <w:rsid w:val="7FEA9B5E"/>
    <w:rsid w:val="7FF388EF"/>
    <w:rsid w:val="7FFDDFCA"/>
    <w:rsid w:val="7FFF8D72"/>
    <w:rsid w:val="8FDFEBBC"/>
    <w:rsid w:val="97ED4C23"/>
    <w:rsid w:val="A5EFECFC"/>
    <w:rsid w:val="AE7DFD29"/>
    <w:rsid w:val="AF8D3F7E"/>
    <w:rsid w:val="AFA9B250"/>
    <w:rsid w:val="B73D975E"/>
    <w:rsid w:val="BBCD6F99"/>
    <w:rsid w:val="BF1E29FD"/>
    <w:rsid w:val="CEF88893"/>
    <w:rsid w:val="DA752587"/>
    <w:rsid w:val="DD979022"/>
    <w:rsid w:val="DFDF1ABE"/>
    <w:rsid w:val="ECFE2EE5"/>
    <w:rsid w:val="EDDF05BC"/>
    <w:rsid w:val="EF9FA2F1"/>
    <w:rsid w:val="EFFF88F8"/>
    <w:rsid w:val="F45FB05D"/>
    <w:rsid w:val="F5BD7B9A"/>
    <w:rsid w:val="F95F8381"/>
    <w:rsid w:val="FBBF3DB0"/>
    <w:rsid w:val="FBFB5D22"/>
    <w:rsid w:val="FDB7BE0B"/>
    <w:rsid w:val="FDFE23F4"/>
    <w:rsid w:val="FEEF1DB6"/>
    <w:rsid w:val="FEF72124"/>
    <w:rsid w:val="FFEFE660"/>
    <w:rsid w:val="FFFE28A3"/>
  </w:rsids>
  <m:mathPr>
    <m:mathFont m:val="Cambria Math"/>
    <m:brkBin m:val="before"/>
    <m:brkBinSub m:val="--"/>
    <m:smallFrac m:val="0"/>
    <m:dispDef/>
    <m:lMargin m:val="0"/>
    <m:rMargin m:val="0"/>
    <m:defJc m:val="centerGroup"/>
    <m:wrapIndent m:val="1440"/>
    <m:intLim m:val="subSup"/>
    <m:naryLim m:val="undOvr"/>
  </m:mathPr>
  <w:themeFontLang w:val="en-IN" w:eastAsia="zh-CN" w:bidi="ml-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8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85"/>
    <w:qFormat/>
    <w:uiPriority w:val="0"/>
    <w:pPr>
      <w:pBdr>
        <w:top w:val="none" w:color="auto" w:sz="0" w:space="0"/>
      </w:pBdr>
      <w:spacing w:before="180"/>
      <w:outlineLvl w:val="1"/>
    </w:pPr>
    <w:rPr>
      <w:sz w:val="32"/>
    </w:rPr>
  </w:style>
  <w:style w:type="paragraph" w:styleId="4">
    <w:name w:val="heading 3"/>
    <w:basedOn w:val="3"/>
    <w:next w:val="1"/>
    <w:link w:val="182"/>
    <w:qFormat/>
    <w:uiPriority w:val="0"/>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8"/>
    <w:uiPriority w:val="0"/>
    <w:pPr>
      <w:spacing w:after="120"/>
    </w:pPr>
  </w:style>
  <w:style w:type="paragraph" w:styleId="17">
    <w:name w:val="Body Text 2"/>
    <w:basedOn w:val="1"/>
    <w:link w:val="139"/>
    <w:uiPriority w:val="0"/>
    <w:pPr>
      <w:spacing w:after="120" w:line="480" w:lineRule="auto"/>
    </w:pPr>
  </w:style>
  <w:style w:type="paragraph" w:styleId="18">
    <w:name w:val="Body Text 3"/>
    <w:basedOn w:val="1"/>
    <w:link w:val="140"/>
    <w:uiPriority w:val="0"/>
    <w:pPr>
      <w:spacing w:after="120"/>
    </w:pPr>
    <w:rPr>
      <w:sz w:val="16"/>
      <w:szCs w:val="16"/>
    </w:rPr>
  </w:style>
  <w:style w:type="paragraph" w:styleId="19">
    <w:name w:val="Body Text First Indent"/>
    <w:basedOn w:val="16"/>
    <w:link w:val="141"/>
    <w:uiPriority w:val="0"/>
    <w:pPr>
      <w:ind w:firstLine="210"/>
    </w:pPr>
  </w:style>
  <w:style w:type="paragraph" w:styleId="20">
    <w:name w:val="Body Text Indent"/>
    <w:basedOn w:val="1"/>
    <w:link w:val="142"/>
    <w:uiPriority w:val="0"/>
    <w:pPr>
      <w:spacing w:after="120"/>
      <w:ind w:left="283"/>
    </w:pPr>
  </w:style>
  <w:style w:type="paragraph" w:styleId="21">
    <w:name w:val="Body Text First Indent 2"/>
    <w:basedOn w:val="20"/>
    <w:link w:val="143"/>
    <w:uiPriority w:val="0"/>
    <w:pPr>
      <w:ind w:firstLine="210"/>
    </w:pPr>
  </w:style>
  <w:style w:type="paragraph" w:styleId="22">
    <w:name w:val="Body Text Indent 2"/>
    <w:basedOn w:val="1"/>
    <w:link w:val="144"/>
    <w:uiPriority w:val="0"/>
    <w:pPr>
      <w:spacing w:after="120" w:line="480" w:lineRule="auto"/>
      <w:ind w:left="283"/>
    </w:pPr>
  </w:style>
  <w:style w:type="paragraph" w:styleId="23">
    <w:name w:val="Body Text Indent 3"/>
    <w:basedOn w:val="1"/>
    <w:link w:val="145"/>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6"/>
    <w:uiPriority w:val="0"/>
    <w:pPr>
      <w:ind w:left="4252"/>
    </w:pPr>
  </w:style>
  <w:style w:type="character" w:styleId="26">
    <w:name w:val="annotation reference"/>
    <w:semiHidden/>
    <w:uiPriority w:val="99"/>
    <w:rPr>
      <w:sz w:val="16"/>
    </w:rPr>
  </w:style>
  <w:style w:type="paragraph" w:styleId="27">
    <w:name w:val="annotation text"/>
    <w:basedOn w:val="1"/>
    <w:link w:val="147"/>
    <w:uiPriority w:val="99"/>
  </w:style>
  <w:style w:type="paragraph" w:styleId="28">
    <w:name w:val="annotation subject"/>
    <w:basedOn w:val="27"/>
    <w:next w:val="27"/>
    <w:link w:val="148"/>
    <w:uiPriority w:val="0"/>
    <w:rPr>
      <w:b/>
      <w:bCs/>
    </w:rPr>
  </w:style>
  <w:style w:type="paragraph" w:styleId="29">
    <w:name w:val="Date"/>
    <w:basedOn w:val="1"/>
    <w:next w:val="1"/>
    <w:link w:val="149"/>
    <w:uiPriority w:val="0"/>
  </w:style>
  <w:style w:type="paragraph" w:styleId="30">
    <w:name w:val="Document Map"/>
    <w:basedOn w:val="1"/>
    <w:link w:val="150"/>
    <w:uiPriority w:val="0"/>
    <w:rPr>
      <w:rFonts w:ascii="Segoe UI" w:hAnsi="Segoe UI" w:cs="Segoe UI"/>
      <w:sz w:val="16"/>
      <w:szCs w:val="16"/>
    </w:rPr>
  </w:style>
  <w:style w:type="paragraph" w:styleId="31">
    <w:name w:val="E-mail Signature"/>
    <w:basedOn w:val="1"/>
    <w:link w:val="151"/>
    <w:uiPriority w:val="0"/>
  </w:style>
  <w:style w:type="character" w:styleId="32">
    <w:name w:val="Emphasis"/>
    <w:qFormat/>
    <w:uiPriority w:val="20"/>
    <w:rPr>
      <w:i/>
      <w:iCs/>
    </w:rPr>
  </w:style>
  <w:style w:type="paragraph" w:styleId="33">
    <w:name w:val="endnote text"/>
    <w:basedOn w:val="1"/>
    <w:link w:val="152"/>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6"/>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3"/>
    <w:uiPriority w:val="0"/>
    <w:rPr>
      <w:i/>
      <w:iCs/>
    </w:rPr>
  </w:style>
  <w:style w:type="paragraph" w:styleId="42">
    <w:name w:val="HTML Preformatted"/>
    <w:basedOn w:val="1"/>
    <w:link w:val="154"/>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8"/>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9"/>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99"/>
    <w:rPr>
      <w:sz w:val="24"/>
      <w:szCs w:val="24"/>
    </w:rPr>
  </w:style>
  <w:style w:type="paragraph" w:styleId="77">
    <w:name w:val="Normal Indent"/>
    <w:basedOn w:val="1"/>
    <w:uiPriority w:val="0"/>
    <w:pPr>
      <w:ind w:left="720"/>
    </w:pPr>
  </w:style>
  <w:style w:type="paragraph" w:styleId="78">
    <w:name w:val="Note Heading"/>
    <w:basedOn w:val="1"/>
    <w:next w:val="1"/>
    <w:link w:val="161"/>
    <w:uiPriority w:val="0"/>
  </w:style>
  <w:style w:type="paragraph" w:styleId="79">
    <w:name w:val="Plain Text"/>
    <w:basedOn w:val="1"/>
    <w:link w:val="162"/>
    <w:uiPriority w:val="0"/>
    <w:rPr>
      <w:rFonts w:ascii="Courier New" w:hAnsi="Courier New" w:cs="Courier New"/>
    </w:rPr>
  </w:style>
  <w:style w:type="paragraph" w:styleId="80">
    <w:name w:val="Salutation"/>
    <w:basedOn w:val="1"/>
    <w:next w:val="1"/>
    <w:link w:val="165"/>
    <w:uiPriority w:val="0"/>
  </w:style>
  <w:style w:type="paragraph" w:styleId="81">
    <w:name w:val="Signature"/>
    <w:basedOn w:val="1"/>
    <w:link w:val="166"/>
    <w:uiPriority w:val="0"/>
    <w:pPr>
      <w:ind w:left="4252"/>
    </w:pPr>
  </w:style>
  <w:style w:type="character" w:styleId="82">
    <w:name w:val="Strong"/>
    <w:qFormat/>
    <w:uiPriority w:val="22"/>
    <w:rPr>
      <w:b/>
      <w:bCs/>
    </w:rPr>
  </w:style>
  <w:style w:type="paragraph" w:styleId="83">
    <w:name w:val="Subtitle"/>
    <w:basedOn w:val="1"/>
    <w:next w:val="1"/>
    <w:link w:val="167"/>
    <w:qFormat/>
    <w:uiPriority w:val="0"/>
    <w:pPr>
      <w:spacing w:after="60"/>
      <w:jc w:val="center"/>
      <w:outlineLvl w:val="1"/>
    </w:pPr>
    <w:rPr>
      <w:rFonts w:ascii="Calibri Light" w:hAnsi="Calibri Light" w:eastAsia="Times New Roman"/>
      <w:sz w:val="24"/>
      <w:szCs w:val="24"/>
    </w:rPr>
  </w:style>
  <w:style w:type="table" w:styleId="84">
    <w:name w:val="Table Grid"/>
    <w:basedOn w:val="13"/>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5">
    <w:name w:val="table of authorities"/>
    <w:basedOn w:val="1"/>
    <w:next w:val="1"/>
    <w:uiPriority w:val="0"/>
    <w:pPr>
      <w:ind w:left="200" w:hanging="200"/>
    </w:pPr>
  </w:style>
  <w:style w:type="paragraph" w:styleId="86">
    <w:name w:val="table of figures"/>
    <w:basedOn w:val="1"/>
    <w:next w:val="1"/>
    <w:uiPriority w:val="0"/>
  </w:style>
  <w:style w:type="paragraph" w:styleId="87">
    <w:name w:val="Title"/>
    <w:basedOn w:val="1"/>
    <w:next w:val="1"/>
    <w:link w:val="168"/>
    <w:qFormat/>
    <w:uiPriority w:val="0"/>
    <w:pPr>
      <w:spacing w:before="240" w:after="60"/>
      <w:jc w:val="center"/>
      <w:outlineLvl w:val="0"/>
    </w:pPr>
    <w:rPr>
      <w:rFonts w:ascii="Calibri Light" w:hAnsi="Calibri Light" w:eastAsia="Times New Roman"/>
      <w:b/>
      <w:bCs/>
      <w:kern w:val="28"/>
      <w:sz w:val="32"/>
      <w:szCs w:val="32"/>
    </w:rPr>
  </w:style>
  <w:style w:type="paragraph" w:styleId="88">
    <w:name w:val="toa heading"/>
    <w:basedOn w:val="1"/>
    <w:next w:val="1"/>
    <w:uiPriority w:val="0"/>
    <w:pPr>
      <w:spacing w:before="120"/>
    </w:pPr>
    <w:rPr>
      <w:rFonts w:ascii="Calibri Light" w:hAnsi="Calibri Light" w:eastAsia="Times New Roman"/>
      <w:b/>
      <w:bCs/>
      <w:sz w:val="24"/>
      <w:szCs w:val="24"/>
    </w:rPr>
  </w:style>
  <w:style w:type="paragraph" w:styleId="8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90">
    <w:name w:val="toc 2"/>
    <w:basedOn w:val="89"/>
    <w:semiHidden/>
    <w:uiPriority w:val="0"/>
    <w:pPr>
      <w:keepNext w:val="0"/>
      <w:spacing w:before="0"/>
      <w:ind w:left="851" w:hanging="851"/>
    </w:pPr>
    <w:rPr>
      <w:sz w:val="20"/>
    </w:rPr>
  </w:style>
  <w:style w:type="paragraph" w:styleId="91">
    <w:name w:val="toc 3"/>
    <w:basedOn w:val="90"/>
    <w:semiHidden/>
    <w:uiPriority w:val="0"/>
    <w:pPr>
      <w:ind w:left="1134" w:hanging="1134"/>
    </w:pPr>
  </w:style>
  <w:style w:type="paragraph" w:styleId="92">
    <w:name w:val="toc 4"/>
    <w:basedOn w:val="91"/>
    <w:semiHidden/>
    <w:uiPriority w:val="0"/>
    <w:pPr>
      <w:ind w:left="1418" w:hanging="1418"/>
    </w:pPr>
  </w:style>
  <w:style w:type="paragraph" w:styleId="93">
    <w:name w:val="toc 5"/>
    <w:basedOn w:val="92"/>
    <w:semiHidden/>
    <w:uiPriority w:val="0"/>
    <w:pPr>
      <w:ind w:left="1701" w:hanging="1701"/>
    </w:pPr>
  </w:style>
  <w:style w:type="paragraph" w:styleId="94">
    <w:name w:val="toc 6"/>
    <w:basedOn w:val="93"/>
    <w:next w:val="1"/>
    <w:semiHidden/>
    <w:uiPriority w:val="0"/>
    <w:pPr>
      <w:ind w:left="1985" w:hanging="1985"/>
    </w:pPr>
  </w:style>
  <w:style w:type="paragraph" w:styleId="95">
    <w:name w:val="toc 7"/>
    <w:basedOn w:val="94"/>
    <w:next w:val="1"/>
    <w:semiHidden/>
    <w:uiPriority w:val="0"/>
    <w:pPr>
      <w:ind w:left="2268" w:hanging="2268"/>
    </w:pPr>
  </w:style>
  <w:style w:type="paragraph" w:styleId="96">
    <w:name w:val="toc 8"/>
    <w:basedOn w:val="89"/>
    <w:semiHidden/>
    <w:uiPriority w:val="0"/>
    <w:pPr>
      <w:spacing w:before="180"/>
      <w:ind w:left="2693" w:hanging="2693"/>
    </w:pPr>
    <w:rPr>
      <w:b/>
    </w:rPr>
  </w:style>
  <w:style w:type="paragraph" w:styleId="97">
    <w:name w:val="toc 9"/>
    <w:basedOn w:val="96"/>
    <w:semiHidden/>
    <w:uiPriority w:val="0"/>
    <w:pPr>
      <w:ind w:left="1418" w:hanging="1418"/>
    </w:pPr>
  </w:style>
  <w:style w:type="paragraph" w:customStyle="1" w:styleId="9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2"/>
    <w:next w:val="1"/>
    <w:uiPriority w:val="0"/>
    <w:pPr>
      <w:outlineLvl w:val="9"/>
    </w:pPr>
  </w:style>
  <w:style w:type="paragraph" w:customStyle="1" w:styleId="101">
    <w:name w:val="TAH"/>
    <w:basedOn w:val="102"/>
    <w:link w:val="190"/>
    <w:qFormat/>
    <w:uiPriority w:val="0"/>
    <w:rPr>
      <w:b/>
    </w:rPr>
  </w:style>
  <w:style w:type="paragraph" w:customStyle="1" w:styleId="102">
    <w:name w:val="TAC"/>
    <w:basedOn w:val="103"/>
    <w:link w:val="192"/>
    <w:qFormat/>
    <w:uiPriority w:val="0"/>
    <w:pPr>
      <w:jc w:val="center"/>
    </w:pPr>
  </w:style>
  <w:style w:type="paragraph" w:customStyle="1" w:styleId="103">
    <w:name w:val="TAL"/>
    <w:basedOn w:val="1"/>
    <w:link w:val="191"/>
    <w:qFormat/>
    <w:uiPriority w:val="0"/>
    <w:pPr>
      <w:keepNext/>
      <w:keepLines/>
      <w:spacing w:after="0"/>
    </w:pPr>
    <w:rPr>
      <w:rFonts w:ascii="Arial" w:hAnsi="Arial"/>
      <w:sz w:val="18"/>
    </w:rPr>
  </w:style>
  <w:style w:type="paragraph" w:customStyle="1" w:styleId="104">
    <w:name w:val="TF"/>
    <w:basedOn w:val="105"/>
    <w:link w:val="174"/>
    <w:qFormat/>
    <w:uiPriority w:val="0"/>
    <w:pPr>
      <w:keepNext w:val="0"/>
      <w:spacing w:before="0" w:after="240"/>
    </w:pPr>
  </w:style>
  <w:style w:type="paragraph" w:customStyle="1" w:styleId="105">
    <w:name w:val="TH"/>
    <w:basedOn w:val="1"/>
    <w:link w:val="189"/>
    <w:qFormat/>
    <w:uiPriority w:val="0"/>
    <w:pPr>
      <w:keepNext/>
      <w:keepLines/>
      <w:spacing w:before="60"/>
      <w:jc w:val="center"/>
    </w:pPr>
    <w:rPr>
      <w:rFonts w:ascii="Arial" w:hAnsi="Arial"/>
      <w:b/>
    </w:rPr>
  </w:style>
  <w:style w:type="paragraph" w:customStyle="1" w:styleId="106">
    <w:name w:val="NO"/>
    <w:basedOn w:val="1"/>
    <w:link w:val="178"/>
    <w:uiPriority w:val="0"/>
    <w:pPr>
      <w:keepLines/>
      <w:ind w:left="1135" w:hanging="851"/>
    </w:pPr>
  </w:style>
  <w:style w:type="paragraph" w:customStyle="1" w:styleId="107">
    <w:name w:val="EX"/>
    <w:basedOn w:val="1"/>
    <w:link w:val="179"/>
    <w:uiPriority w:val="0"/>
    <w:pPr>
      <w:keepLines/>
      <w:ind w:left="1702" w:hanging="1418"/>
    </w:pPr>
  </w:style>
  <w:style w:type="paragraph" w:customStyle="1" w:styleId="108">
    <w:name w:val="FP"/>
    <w:basedOn w:val="1"/>
    <w:uiPriority w:val="0"/>
    <w:pPr>
      <w:spacing w:after="0"/>
    </w:pPr>
  </w:style>
  <w:style w:type="paragraph" w:customStyle="1" w:styleId="109">
    <w:name w:val="LD"/>
    <w:uiPriority w:val="0"/>
    <w:pPr>
      <w:keepNext/>
      <w:keepLines/>
      <w:spacing w:line="180" w:lineRule="exact"/>
    </w:pPr>
    <w:rPr>
      <w:rFonts w:ascii="MS LineDraw" w:hAnsi="MS LineDraw" w:eastAsia="宋体" w:cs="Times New Roman"/>
      <w:lang w:val="en-GB" w:eastAsia="en-US" w:bidi="ar-SA"/>
    </w:rPr>
  </w:style>
  <w:style w:type="paragraph" w:customStyle="1" w:styleId="110">
    <w:name w:val="NW"/>
    <w:basedOn w:val="106"/>
    <w:uiPriority w:val="0"/>
    <w:pPr>
      <w:spacing w:after="0"/>
    </w:pPr>
  </w:style>
  <w:style w:type="paragraph" w:customStyle="1" w:styleId="111">
    <w:name w:val="EW"/>
    <w:basedOn w:val="107"/>
    <w:uiPriority w:val="0"/>
    <w:pPr>
      <w:spacing w:after="0"/>
    </w:pPr>
  </w:style>
  <w:style w:type="paragraph" w:customStyle="1" w:styleId="112">
    <w:name w:val="EQ"/>
    <w:basedOn w:val="1"/>
    <w:next w:val="1"/>
    <w:uiPriority w:val="0"/>
    <w:pPr>
      <w:keepLines/>
      <w:tabs>
        <w:tab w:val="center" w:pos="4536"/>
        <w:tab w:val="right" w:pos="9072"/>
      </w:tabs>
    </w:pPr>
  </w:style>
  <w:style w:type="paragraph" w:customStyle="1" w:styleId="113">
    <w:name w:val="NF"/>
    <w:basedOn w:val="106"/>
    <w:uiPriority w:val="0"/>
    <w:pPr>
      <w:keepNext/>
      <w:spacing w:after="0"/>
    </w:pPr>
    <w:rPr>
      <w:rFonts w:ascii="Arial" w:hAnsi="Arial"/>
      <w:sz w:val="18"/>
    </w:rPr>
  </w:style>
  <w:style w:type="paragraph" w:customStyle="1" w:styleId="11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uiPriority w:val="0"/>
    <w:pPr>
      <w:jc w:val="right"/>
    </w:pPr>
  </w:style>
  <w:style w:type="paragraph" w:customStyle="1" w:styleId="116">
    <w:name w:val="TAN"/>
    <w:basedOn w:val="103"/>
    <w:uiPriority w:val="0"/>
    <w:pPr>
      <w:ind w:left="851" w:hanging="851"/>
    </w:pPr>
  </w:style>
  <w:style w:type="paragraph" w:customStyle="1" w:styleId="11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uiPriority w:val="0"/>
    <w:pPr>
      <w:framePr w:y="16161"/>
    </w:pPr>
  </w:style>
  <w:style w:type="character" w:customStyle="1" w:styleId="122">
    <w:name w:val="ZGSM"/>
    <w:uiPriority w:val="0"/>
  </w:style>
  <w:style w:type="paragraph" w:customStyle="1" w:styleId="12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81"/>
    <w:qFormat/>
    <w:uiPriority w:val="0"/>
    <w:rPr>
      <w:color w:val="FF0000"/>
    </w:rPr>
  </w:style>
  <w:style w:type="paragraph" w:customStyle="1" w:styleId="125">
    <w:name w:val="B1"/>
    <w:basedOn w:val="54"/>
    <w:link w:val="180"/>
    <w:qFormat/>
    <w:uiPriority w:val="0"/>
  </w:style>
  <w:style w:type="paragraph" w:customStyle="1" w:styleId="126">
    <w:name w:val="B2"/>
    <w:basedOn w:val="55"/>
    <w:link w:val="194"/>
    <w:uiPriority w:val="0"/>
  </w:style>
  <w:style w:type="paragraph" w:customStyle="1" w:styleId="127">
    <w:name w:val="B3"/>
    <w:basedOn w:val="56"/>
    <w:uiPriority w:val="0"/>
  </w:style>
  <w:style w:type="paragraph" w:customStyle="1" w:styleId="128">
    <w:name w:val="B4"/>
    <w:basedOn w:val="57"/>
    <w:uiPriority w:val="0"/>
  </w:style>
  <w:style w:type="paragraph" w:customStyle="1" w:styleId="129">
    <w:name w:val="B5"/>
    <w:basedOn w:val="58"/>
    <w:uiPriority w:val="0"/>
  </w:style>
  <w:style w:type="paragraph" w:customStyle="1" w:styleId="130">
    <w:name w:val="ZTD"/>
    <w:basedOn w:val="118"/>
    <w:uiPriority w:val="0"/>
    <w:pPr>
      <w:framePr w:hRule="auto" w:y="852"/>
    </w:pPr>
    <w:rPr>
      <w:i w:val="0"/>
      <w:sz w:val="40"/>
    </w:rPr>
  </w:style>
  <w:style w:type="paragraph" w:customStyle="1" w:styleId="131">
    <w:name w:val="CR Cover Page"/>
    <w:link w:val="188"/>
    <w:uiPriority w:val="0"/>
    <w:pPr>
      <w:spacing w:after="120"/>
    </w:pPr>
    <w:rPr>
      <w:rFonts w:ascii="Arial" w:hAnsi="Arial" w:eastAsia="宋体" w:cs="Times New Roman"/>
      <w:lang w:val="en-GB" w:eastAsia="en-US" w:bidi="ar-SA"/>
    </w:rPr>
  </w:style>
  <w:style w:type="paragraph" w:customStyle="1" w:styleId="132">
    <w:name w:val="tdoc-header"/>
    <w:uiPriority w:val="0"/>
    <w:rPr>
      <w:rFonts w:ascii="Arial" w:hAnsi="Arial" w:eastAsia="宋体" w:cs="Times New Roman"/>
      <w:sz w:val="24"/>
      <w:lang w:val="en-GB" w:eastAsia="en-US" w:bidi="ar-SA"/>
    </w:rPr>
  </w:style>
  <w:style w:type="paragraph" w:customStyle="1" w:styleId="133">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4">
    <w:name w:val="msoins"/>
    <w:basedOn w:val="12"/>
    <w:uiPriority w:val="0"/>
  </w:style>
  <w:style w:type="paragraph" w:customStyle="1" w:styleId="135">
    <w:name w:val="Reference"/>
    <w:basedOn w:val="1"/>
    <w:uiPriority w:val="0"/>
    <w:pPr>
      <w:tabs>
        <w:tab w:val="left" w:pos="851"/>
      </w:tabs>
      <w:ind w:left="851" w:hanging="851"/>
    </w:pPr>
  </w:style>
  <w:style w:type="character" w:customStyle="1" w:styleId="136">
    <w:name w:val="Header Char"/>
    <w:link w:val="38"/>
    <w:uiPriority w:val="0"/>
    <w:rPr>
      <w:rFonts w:ascii="Arial" w:hAnsi="Arial"/>
      <w:b/>
      <w:sz w:val="18"/>
      <w:lang w:eastAsia="en-US"/>
    </w:rPr>
  </w:style>
  <w:style w:type="paragraph" w:customStyle="1" w:styleId="137">
    <w:name w:val="Bibliography1"/>
    <w:basedOn w:val="1"/>
    <w:next w:val="1"/>
    <w:semiHidden/>
    <w:unhideWhenUsed/>
    <w:uiPriority w:val="37"/>
  </w:style>
  <w:style w:type="character" w:customStyle="1" w:styleId="138">
    <w:name w:val="Body Text Char"/>
    <w:link w:val="16"/>
    <w:uiPriority w:val="0"/>
    <w:rPr>
      <w:rFonts w:ascii="Times New Roman" w:hAnsi="Times New Roman"/>
      <w:lang w:eastAsia="en-US"/>
    </w:rPr>
  </w:style>
  <w:style w:type="character" w:customStyle="1" w:styleId="139">
    <w:name w:val="Body Text 2 Char"/>
    <w:link w:val="17"/>
    <w:uiPriority w:val="0"/>
    <w:rPr>
      <w:rFonts w:ascii="Times New Roman" w:hAnsi="Times New Roman"/>
      <w:lang w:eastAsia="en-US"/>
    </w:rPr>
  </w:style>
  <w:style w:type="character" w:customStyle="1" w:styleId="140">
    <w:name w:val="Body Text 3 Char"/>
    <w:link w:val="18"/>
    <w:uiPriority w:val="0"/>
    <w:rPr>
      <w:rFonts w:ascii="Times New Roman" w:hAnsi="Times New Roman"/>
      <w:sz w:val="16"/>
      <w:szCs w:val="16"/>
      <w:lang w:eastAsia="en-US"/>
    </w:rPr>
  </w:style>
  <w:style w:type="character" w:customStyle="1" w:styleId="141">
    <w:name w:val="Body Text First Indent Char"/>
    <w:basedOn w:val="138"/>
    <w:link w:val="19"/>
    <w:uiPriority w:val="0"/>
    <w:rPr>
      <w:rFonts w:ascii="Times New Roman" w:hAnsi="Times New Roman"/>
      <w:lang w:eastAsia="en-US"/>
    </w:rPr>
  </w:style>
  <w:style w:type="character" w:customStyle="1" w:styleId="142">
    <w:name w:val="Body Text Indent Char"/>
    <w:link w:val="20"/>
    <w:uiPriority w:val="0"/>
    <w:rPr>
      <w:rFonts w:ascii="Times New Roman" w:hAnsi="Times New Roman"/>
      <w:lang w:eastAsia="en-US"/>
    </w:rPr>
  </w:style>
  <w:style w:type="character" w:customStyle="1" w:styleId="143">
    <w:name w:val="Body Text First Indent 2 Char"/>
    <w:basedOn w:val="142"/>
    <w:link w:val="21"/>
    <w:uiPriority w:val="0"/>
    <w:rPr>
      <w:rFonts w:ascii="Times New Roman" w:hAnsi="Times New Roman"/>
      <w:lang w:eastAsia="en-US"/>
    </w:rPr>
  </w:style>
  <w:style w:type="character" w:customStyle="1" w:styleId="144">
    <w:name w:val="Body Text Indent 2 Char"/>
    <w:link w:val="22"/>
    <w:uiPriority w:val="0"/>
    <w:rPr>
      <w:rFonts w:ascii="Times New Roman" w:hAnsi="Times New Roman"/>
      <w:lang w:eastAsia="en-US"/>
    </w:rPr>
  </w:style>
  <w:style w:type="character" w:customStyle="1" w:styleId="145">
    <w:name w:val="Body Text Indent 3 Char"/>
    <w:link w:val="23"/>
    <w:uiPriority w:val="0"/>
    <w:rPr>
      <w:rFonts w:ascii="Times New Roman" w:hAnsi="Times New Roman"/>
      <w:sz w:val="16"/>
      <w:szCs w:val="16"/>
      <w:lang w:eastAsia="en-US"/>
    </w:rPr>
  </w:style>
  <w:style w:type="character" w:customStyle="1" w:styleId="146">
    <w:name w:val="Closing Char"/>
    <w:link w:val="25"/>
    <w:uiPriority w:val="0"/>
    <w:rPr>
      <w:rFonts w:ascii="Times New Roman" w:hAnsi="Times New Roman"/>
      <w:lang w:eastAsia="en-US"/>
    </w:rPr>
  </w:style>
  <w:style w:type="character" w:customStyle="1" w:styleId="147">
    <w:name w:val="Comment Text Char"/>
    <w:link w:val="27"/>
    <w:uiPriority w:val="99"/>
    <w:rPr>
      <w:rFonts w:ascii="Times New Roman" w:hAnsi="Times New Roman"/>
      <w:lang w:eastAsia="en-US"/>
    </w:rPr>
  </w:style>
  <w:style w:type="character" w:customStyle="1" w:styleId="148">
    <w:name w:val="Comment Subject Char"/>
    <w:link w:val="28"/>
    <w:uiPriority w:val="0"/>
    <w:rPr>
      <w:rFonts w:ascii="Times New Roman" w:hAnsi="Times New Roman"/>
      <w:b/>
      <w:bCs/>
      <w:lang w:eastAsia="en-US"/>
    </w:rPr>
  </w:style>
  <w:style w:type="character" w:customStyle="1" w:styleId="149">
    <w:name w:val="Date Char"/>
    <w:link w:val="29"/>
    <w:uiPriority w:val="0"/>
    <w:rPr>
      <w:rFonts w:ascii="Times New Roman" w:hAnsi="Times New Roman"/>
      <w:lang w:eastAsia="en-US"/>
    </w:rPr>
  </w:style>
  <w:style w:type="character" w:customStyle="1" w:styleId="150">
    <w:name w:val="Document Map Char"/>
    <w:link w:val="30"/>
    <w:uiPriority w:val="0"/>
    <w:rPr>
      <w:rFonts w:ascii="Segoe UI" w:hAnsi="Segoe UI" w:cs="Segoe UI"/>
      <w:sz w:val="16"/>
      <w:szCs w:val="16"/>
      <w:lang w:eastAsia="en-US"/>
    </w:rPr>
  </w:style>
  <w:style w:type="character" w:customStyle="1" w:styleId="151">
    <w:name w:val="Email Signature Char"/>
    <w:link w:val="31"/>
    <w:uiPriority w:val="0"/>
    <w:rPr>
      <w:rFonts w:ascii="Times New Roman" w:hAnsi="Times New Roman"/>
      <w:lang w:eastAsia="en-US"/>
    </w:rPr>
  </w:style>
  <w:style w:type="character" w:customStyle="1" w:styleId="152">
    <w:name w:val="Endnote Text Char"/>
    <w:link w:val="33"/>
    <w:uiPriority w:val="0"/>
    <w:rPr>
      <w:rFonts w:ascii="Times New Roman" w:hAnsi="Times New Roman"/>
      <w:lang w:eastAsia="en-US"/>
    </w:rPr>
  </w:style>
  <w:style w:type="character" w:customStyle="1" w:styleId="153">
    <w:name w:val="HTML Address Char"/>
    <w:link w:val="41"/>
    <w:uiPriority w:val="0"/>
    <w:rPr>
      <w:rFonts w:ascii="Times New Roman" w:hAnsi="Times New Roman"/>
      <w:i/>
      <w:iCs/>
      <w:lang w:eastAsia="en-US"/>
    </w:rPr>
  </w:style>
  <w:style w:type="character" w:customStyle="1" w:styleId="154">
    <w:name w:val="HTML Preformatted Char"/>
    <w:link w:val="42"/>
    <w:uiPriority w:val="0"/>
    <w:rPr>
      <w:rFonts w:ascii="Courier New" w:hAnsi="Courier New" w:cs="Courier New"/>
      <w:lang w:eastAsia="en-US"/>
    </w:rPr>
  </w:style>
  <w:style w:type="paragraph" w:styleId="155">
    <w:name w:val="Intense Quote"/>
    <w:basedOn w:val="1"/>
    <w:next w:val="1"/>
    <w:link w:val="156"/>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6">
    <w:name w:val="Intense Quote Char"/>
    <w:link w:val="155"/>
    <w:uiPriority w:val="30"/>
    <w:rPr>
      <w:rFonts w:ascii="Times New Roman" w:hAnsi="Times New Roman"/>
      <w:i/>
      <w:iCs/>
      <w:color w:val="4472C4"/>
      <w:lang w:eastAsia="en-US"/>
    </w:rPr>
  </w:style>
  <w:style w:type="paragraph" w:styleId="157">
    <w:name w:val="List Paragraph"/>
    <w:basedOn w:val="1"/>
    <w:qFormat/>
    <w:uiPriority w:val="34"/>
    <w:pPr>
      <w:ind w:left="720"/>
    </w:pPr>
  </w:style>
  <w:style w:type="character" w:customStyle="1" w:styleId="158">
    <w:name w:val="Macro Text Char"/>
    <w:link w:val="74"/>
    <w:uiPriority w:val="0"/>
    <w:rPr>
      <w:rFonts w:ascii="Courier New" w:hAnsi="Courier New" w:cs="Courier New"/>
      <w:lang w:eastAsia="en-US"/>
    </w:rPr>
  </w:style>
  <w:style w:type="character" w:customStyle="1" w:styleId="159">
    <w:name w:val="Message Header Char"/>
    <w:link w:val="75"/>
    <w:uiPriority w:val="0"/>
    <w:rPr>
      <w:rFonts w:ascii="Calibri Light" w:hAnsi="Calibri Light" w:eastAsia="Times New Roman" w:cs="Times New Roman"/>
      <w:sz w:val="24"/>
      <w:szCs w:val="24"/>
      <w:shd w:val="pct20" w:color="auto" w:fill="auto"/>
      <w:lang w:eastAsia="en-US"/>
    </w:rPr>
  </w:style>
  <w:style w:type="paragraph" w:styleId="160">
    <w:name w:val="No Spacing"/>
    <w:qFormat/>
    <w:uiPriority w:val="1"/>
    <w:rPr>
      <w:rFonts w:ascii="Times New Roman" w:hAnsi="Times New Roman" w:eastAsia="宋体" w:cs="Times New Roman"/>
      <w:lang w:val="en-GB" w:eastAsia="en-US" w:bidi="ar-SA"/>
    </w:rPr>
  </w:style>
  <w:style w:type="character" w:customStyle="1" w:styleId="161">
    <w:name w:val="Note Heading Char"/>
    <w:link w:val="78"/>
    <w:uiPriority w:val="0"/>
    <w:rPr>
      <w:rFonts w:ascii="Times New Roman" w:hAnsi="Times New Roman"/>
      <w:lang w:eastAsia="en-US"/>
    </w:rPr>
  </w:style>
  <w:style w:type="character" w:customStyle="1" w:styleId="162">
    <w:name w:val="Plain Text Char"/>
    <w:link w:val="79"/>
    <w:uiPriority w:val="0"/>
    <w:rPr>
      <w:rFonts w:ascii="Courier New" w:hAnsi="Courier New" w:cs="Courier New"/>
      <w:lang w:eastAsia="en-US"/>
    </w:rPr>
  </w:style>
  <w:style w:type="paragraph" w:styleId="163">
    <w:name w:val="Quote"/>
    <w:basedOn w:val="1"/>
    <w:next w:val="1"/>
    <w:link w:val="164"/>
    <w:qFormat/>
    <w:uiPriority w:val="29"/>
    <w:pPr>
      <w:spacing w:before="200" w:after="160"/>
      <w:ind w:left="864" w:right="864"/>
      <w:jc w:val="center"/>
    </w:pPr>
    <w:rPr>
      <w:i/>
      <w:iCs/>
      <w:color w:val="404040"/>
    </w:rPr>
  </w:style>
  <w:style w:type="character" w:customStyle="1" w:styleId="164">
    <w:name w:val="Quote Char"/>
    <w:link w:val="163"/>
    <w:uiPriority w:val="29"/>
    <w:rPr>
      <w:rFonts w:ascii="Times New Roman" w:hAnsi="Times New Roman"/>
      <w:i/>
      <w:iCs/>
      <w:color w:val="404040"/>
      <w:lang w:eastAsia="en-US"/>
    </w:rPr>
  </w:style>
  <w:style w:type="character" w:customStyle="1" w:styleId="165">
    <w:name w:val="Salutation Char"/>
    <w:link w:val="80"/>
    <w:uiPriority w:val="0"/>
    <w:rPr>
      <w:rFonts w:ascii="Times New Roman" w:hAnsi="Times New Roman"/>
      <w:lang w:eastAsia="en-US"/>
    </w:rPr>
  </w:style>
  <w:style w:type="character" w:customStyle="1" w:styleId="166">
    <w:name w:val="Signature Char"/>
    <w:link w:val="81"/>
    <w:uiPriority w:val="0"/>
    <w:rPr>
      <w:rFonts w:ascii="Times New Roman" w:hAnsi="Times New Roman"/>
      <w:lang w:eastAsia="en-US"/>
    </w:rPr>
  </w:style>
  <w:style w:type="character" w:customStyle="1" w:styleId="167">
    <w:name w:val="Subtitle Char"/>
    <w:link w:val="83"/>
    <w:uiPriority w:val="0"/>
    <w:rPr>
      <w:rFonts w:ascii="Calibri Light" w:hAnsi="Calibri Light" w:eastAsia="Times New Roman" w:cs="Times New Roman"/>
      <w:sz w:val="24"/>
      <w:szCs w:val="24"/>
      <w:lang w:eastAsia="en-US"/>
    </w:rPr>
  </w:style>
  <w:style w:type="character" w:customStyle="1" w:styleId="168">
    <w:name w:val="Title Char"/>
    <w:link w:val="87"/>
    <w:uiPriority w:val="0"/>
    <w:rPr>
      <w:rFonts w:ascii="Calibri Light" w:hAnsi="Calibri Light" w:eastAsia="Times New Roman" w:cs="Times New Roman"/>
      <w:b/>
      <w:bCs/>
      <w:kern w:val="28"/>
      <w:sz w:val="32"/>
      <w:szCs w:val="32"/>
      <w:lang w:eastAsia="en-US"/>
    </w:rPr>
  </w:style>
  <w:style w:type="paragraph" w:customStyle="1" w:styleId="169">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70">
    <w:name w:val="blue-complex-underline"/>
    <w:basedOn w:val="12"/>
    <w:uiPriority w:val="0"/>
  </w:style>
  <w:style w:type="paragraph" w:customStyle="1" w:styleId="171">
    <w:name w:val="Bullet"/>
    <w:basedOn w:val="1"/>
    <w:uiPriority w:val="0"/>
  </w:style>
  <w:style w:type="character" w:customStyle="1" w:styleId="172">
    <w:name w:val="red-underline"/>
    <w:basedOn w:val="12"/>
    <w:uiPriority w:val="0"/>
  </w:style>
  <w:style w:type="paragraph" w:customStyle="1" w:styleId="173">
    <w:name w:val="root-block-node"/>
    <w:basedOn w:val="1"/>
    <w:uiPriority w:val="0"/>
    <w:pPr>
      <w:spacing w:before="100" w:beforeAutospacing="1" w:after="100" w:afterAutospacing="1"/>
    </w:pPr>
    <w:rPr>
      <w:rFonts w:eastAsia="Times New Roman"/>
      <w:sz w:val="24"/>
      <w:szCs w:val="24"/>
      <w:lang w:val="en-IN" w:eastAsia="en-IN"/>
    </w:rPr>
  </w:style>
  <w:style w:type="character" w:customStyle="1" w:styleId="174">
    <w:name w:val="TF Char"/>
    <w:link w:val="104"/>
    <w:qFormat/>
    <w:locked/>
    <w:uiPriority w:val="0"/>
    <w:rPr>
      <w:rFonts w:ascii="Arial" w:hAnsi="Arial"/>
      <w:b/>
      <w:lang w:val="en-GB" w:eastAsia="en-US"/>
    </w:rPr>
  </w:style>
  <w:style w:type="character" w:customStyle="1" w:styleId="175">
    <w:name w:val="ref Char"/>
    <w:link w:val="176"/>
    <w:locked/>
    <w:uiPriority w:val="0"/>
    <w:rPr>
      <w:rFonts w:ascii="Times New Roman" w:hAnsi="Times New Roman" w:eastAsia="DengXian"/>
      <w:lang w:eastAsia="en-US"/>
    </w:rPr>
  </w:style>
  <w:style w:type="paragraph" w:customStyle="1" w:styleId="176">
    <w:name w:val="ref"/>
    <w:basedOn w:val="1"/>
    <w:link w:val="175"/>
    <w:qFormat/>
    <w:uiPriority w:val="0"/>
    <w:pPr>
      <w:ind w:left="720" w:hanging="720"/>
    </w:pPr>
    <w:rPr>
      <w:rFonts w:eastAsia="DengXian"/>
      <w:lang w:val="en-IN"/>
    </w:rPr>
  </w:style>
  <w:style w:type="character" w:customStyle="1" w:styleId="177">
    <w:name w:val="blue-underline"/>
    <w:basedOn w:val="12"/>
    <w:uiPriority w:val="0"/>
  </w:style>
  <w:style w:type="character" w:customStyle="1" w:styleId="178">
    <w:name w:val="NO Char"/>
    <w:link w:val="106"/>
    <w:qFormat/>
    <w:uiPriority w:val="0"/>
    <w:rPr>
      <w:rFonts w:ascii="Times New Roman" w:hAnsi="Times New Roman"/>
      <w:lang w:val="en-GB" w:eastAsia="en-US"/>
    </w:rPr>
  </w:style>
  <w:style w:type="character" w:customStyle="1" w:styleId="179">
    <w:name w:val="EX Char"/>
    <w:link w:val="107"/>
    <w:locked/>
    <w:uiPriority w:val="0"/>
    <w:rPr>
      <w:rFonts w:ascii="Times New Roman" w:hAnsi="Times New Roman"/>
      <w:lang w:val="en-GB" w:eastAsia="en-US"/>
    </w:rPr>
  </w:style>
  <w:style w:type="character" w:customStyle="1" w:styleId="180">
    <w:name w:val="B1 Char"/>
    <w:link w:val="125"/>
    <w:locked/>
    <w:uiPriority w:val="0"/>
    <w:rPr>
      <w:rFonts w:ascii="Times New Roman" w:hAnsi="Times New Roman"/>
      <w:lang w:val="en-GB" w:eastAsia="en-US"/>
    </w:rPr>
  </w:style>
  <w:style w:type="character" w:customStyle="1" w:styleId="181">
    <w:name w:val="Editor's Note Char Char"/>
    <w:link w:val="124"/>
    <w:locked/>
    <w:uiPriority w:val="0"/>
    <w:rPr>
      <w:rFonts w:ascii="Times New Roman" w:hAnsi="Times New Roman"/>
      <w:color w:val="FF0000"/>
      <w:lang w:val="en-GB" w:eastAsia="en-US"/>
    </w:rPr>
  </w:style>
  <w:style w:type="character" w:customStyle="1" w:styleId="182">
    <w:name w:val="Heading 3 Char"/>
    <w:link w:val="4"/>
    <w:uiPriority w:val="0"/>
    <w:rPr>
      <w:rFonts w:ascii="Arial" w:hAnsi="Arial"/>
      <w:sz w:val="28"/>
      <w:lang w:val="en-GB" w:eastAsia="en-US"/>
    </w:rPr>
  </w:style>
  <w:style w:type="character" w:customStyle="1" w:styleId="183">
    <w:name w:val="Heading 4 Char"/>
    <w:link w:val="5"/>
    <w:uiPriority w:val="0"/>
    <w:rPr>
      <w:rFonts w:ascii="Arial" w:hAnsi="Arial"/>
      <w:sz w:val="24"/>
      <w:lang w:val="en-GB" w:eastAsia="en-US"/>
    </w:rPr>
  </w:style>
  <w:style w:type="character" w:customStyle="1" w:styleId="184">
    <w:name w:val="Heading 1 Char"/>
    <w:link w:val="2"/>
    <w:uiPriority w:val="0"/>
    <w:rPr>
      <w:rFonts w:ascii="Arial" w:hAnsi="Arial"/>
      <w:sz w:val="36"/>
      <w:lang w:val="en-GB" w:eastAsia="en-US"/>
    </w:rPr>
  </w:style>
  <w:style w:type="character" w:customStyle="1" w:styleId="185">
    <w:name w:val="Heading 2 Char"/>
    <w:link w:val="3"/>
    <w:uiPriority w:val="0"/>
    <w:rPr>
      <w:rFonts w:ascii="Arial" w:hAnsi="Arial"/>
      <w:sz w:val="32"/>
      <w:lang w:val="en-GB" w:eastAsia="en-US"/>
    </w:rPr>
  </w:style>
  <w:style w:type="character" w:customStyle="1" w:styleId="186">
    <w:name w:val="normaltextrun"/>
    <w:basedOn w:val="12"/>
    <w:uiPriority w:val="0"/>
  </w:style>
  <w:style w:type="character" w:customStyle="1" w:styleId="187">
    <w:name w:val="eop"/>
    <w:basedOn w:val="12"/>
    <w:uiPriority w:val="0"/>
  </w:style>
  <w:style w:type="character" w:customStyle="1" w:styleId="188">
    <w:name w:val="CR Cover Page Zchn"/>
    <w:link w:val="131"/>
    <w:locked/>
    <w:uiPriority w:val="0"/>
    <w:rPr>
      <w:rFonts w:ascii="Arial" w:hAnsi="Arial"/>
      <w:lang w:val="en-GB" w:eastAsia="en-US"/>
    </w:rPr>
  </w:style>
  <w:style w:type="character" w:customStyle="1" w:styleId="189">
    <w:name w:val="TH Char"/>
    <w:link w:val="105"/>
    <w:qFormat/>
    <w:uiPriority w:val="0"/>
    <w:rPr>
      <w:rFonts w:ascii="Arial" w:hAnsi="Arial"/>
      <w:b/>
      <w:lang w:val="en-GB" w:eastAsia="en-US"/>
    </w:rPr>
  </w:style>
  <w:style w:type="character" w:customStyle="1" w:styleId="190">
    <w:name w:val="TAH Car"/>
    <w:link w:val="101"/>
    <w:uiPriority w:val="0"/>
    <w:rPr>
      <w:rFonts w:ascii="Arial" w:hAnsi="Arial"/>
      <w:b/>
      <w:sz w:val="18"/>
      <w:lang w:val="en-GB" w:eastAsia="en-US"/>
    </w:rPr>
  </w:style>
  <w:style w:type="character" w:customStyle="1" w:styleId="191">
    <w:name w:val="TAL Zchn"/>
    <w:link w:val="103"/>
    <w:uiPriority w:val="0"/>
    <w:rPr>
      <w:rFonts w:ascii="Arial" w:hAnsi="Arial"/>
      <w:sz w:val="18"/>
      <w:lang w:val="en-GB" w:eastAsia="en-US"/>
    </w:rPr>
  </w:style>
  <w:style w:type="character" w:customStyle="1" w:styleId="192">
    <w:name w:val="TAC Char"/>
    <w:link w:val="102"/>
    <w:qFormat/>
    <w:uiPriority w:val="0"/>
    <w:rPr>
      <w:rFonts w:ascii="Arial" w:hAnsi="Arial"/>
      <w:sz w:val="18"/>
      <w:lang w:val="en-GB" w:eastAsia="en-US"/>
    </w:rPr>
  </w:style>
  <w:style w:type="character" w:customStyle="1" w:styleId="193">
    <w:name w:val="B1 Char1"/>
    <w:qFormat/>
    <w:locked/>
    <w:uiPriority w:val="0"/>
    <w:rPr>
      <w:lang w:eastAsia="zh-CN"/>
    </w:rPr>
  </w:style>
  <w:style w:type="character" w:customStyle="1" w:styleId="194">
    <w:name w:val="B2 Char"/>
    <w:link w:val="126"/>
    <w:uiPriority w:val="0"/>
    <w:rPr>
      <w:rFonts w:ascii="Times New Roman" w:hAnsi="Times New Roman"/>
      <w:lang w:val="en-GB" w:eastAsia="en-US"/>
    </w:rPr>
  </w:style>
  <w:style w:type="paragraph" w:customStyle="1" w:styleId="195">
    <w:name w:val="Revision1"/>
    <w:hidden/>
    <w:semiHidden/>
    <w:uiPriority w:val="99"/>
    <w:rPr>
      <w:rFonts w:ascii="Times New Roman" w:hAnsi="Times New Roman" w:eastAsia="宋体" w:cs="Times New Roman"/>
      <w:lang w:val="en-GB" w:eastAsia="en-US" w:bidi="ar-SA"/>
    </w:rPr>
  </w:style>
  <w:style w:type="paragraph" w:customStyle="1" w:styleId="196">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C:\Users\sakhare\AppData\Roaming\Microsoft\Templates\3GPP_70.dot</Template>
  <Company>3GPP Support Team</Company>
  <Pages>3</Pages>
  <Words>1240</Words>
  <Characters>7074</Characters>
  <Lines>58</Lines>
  <Paragraphs>16</Paragraphs>
  <TotalTime>0</TotalTime>
  <ScaleCrop>false</ScaleCrop>
  <LinksUpToDate>false</LinksUpToDate>
  <CharactersWithSpaces>8298</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2025-02-11T03:42:00Z</dcterms:created>
  <dc:creator>Michael Sanders, John M Meredith</dc:creator>
  <cp:lastModifiedBy>Apple</cp:lastModifiedBy>
  <cp:lastPrinted>1900-01-04T23:00:00Z</cp:lastPrinted>
  <dcterms:modified xsi:type="dcterms:W3CDTF">2025-05-12T18:53:07Z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5AIRPNAIUNRU-931754773-4745</vt:lpwstr>
  </property>
  <property fmtid="{D5CDD505-2E9C-101B-9397-08002B2CF9AE}" pid="4" name="_dlc_DocIdItemGuid">
    <vt:lpwstr>85303504-c8f1-42c4-a1a4-1467c82b0e92</vt:lpwstr>
  </property>
  <property fmtid="{D5CDD505-2E9C-101B-9397-08002B2CF9AE}" pid="5" name="_dlc_DocIdUrl">
    <vt:lpwstr>https://nokia.sharepoint.com/sites/c5g/security/_layouts/15/DocIdRedir.aspx?ID=5AIRPNAIUNRU-931754773-4745, 5AIRPNAIUNRU-931754773-4745</vt:lpwstr>
  </property>
  <property fmtid="{D5CDD505-2E9C-101B-9397-08002B2CF9AE}" pid="6" name="MediaServiceImageTags">
    <vt:lpwstr/>
  </property>
  <property fmtid="{D5CDD505-2E9C-101B-9397-08002B2CF9AE}" pid="7" name="ContentTypeId">
    <vt:lpwstr>0x010100DA95EA92BC8BC0428C825697CEF0A167</vt:lpwstr>
  </property>
  <property fmtid="{D5CDD505-2E9C-101B-9397-08002B2CF9AE}" pid="8" name="KSOProductBuildVer">
    <vt:lpwstr>1033-6.9.0.8865</vt:lpwstr>
  </property>
  <property fmtid="{D5CDD505-2E9C-101B-9397-08002B2CF9AE}" pid="9" name="ICV">
    <vt:lpwstr>CCA9A2064904ECA9BF87A567C70461D9_42</vt:lpwstr>
  </property>
</Properties>
</file>